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72ABE">
      <w:pPr>
        <w:spacing w:line="440" w:lineRule="exact"/>
        <w:rPr>
          <w:rFonts w:hint="eastAsia" w:asciiTheme="minorEastAsia" w:hAnsiTheme="minorEastAsia" w:eastAsiaTheme="minorEastAsia"/>
          <w:b/>
          <w:sz w:val="28"/>
          <w:szCs w:val="30"/>
          <w:lang w:val="en-US" w:eastAsia="zh-CN"/>
        </w:rPr>
      </w:pPr>
      <w:r>
        <w:rPr>
          <w:rFonts w:hint="eastAsia" w:asciiTheme="minorEastAsia" w:hAnsiTheme="minorEastAsia" w:eastAsiaTheme="minorEastAsia"/>
          <w:b/>
          <w:sz w:val="28"/>
          <w:szCs w:val="30"/>
        </w:rPr>
        <w:t>项目编号：</w:t>
      </w:r>
      <w:r>
        <w:rPr>
          <w:rFonts w:hint="eastAsia" w:asciiTheme="minorEastAsia" w:hAnsiTheme="minorEastAsia" w:eastAsiaTheme="minorEastAsia"/>
          <w:b/>
          <w:sz w:val="28"/>
          <w:szCs w:val="30"/>
          <w:lang w:eastAsia="zh-CN"/>
        </w:rPr>
        <w:t>GZBBFA202509090008</w:t>
      </w:r>
    </w:p>
    <w:p w14:paraId="7F11715F">
      <w:pPr>
        <w:spacing w:line="360" w:lineRule="auto"/>
        <w:ind w:firstLine="560"/>
        <w:rPr>
          <w:rFonts w:hint="eastAsia" w:cs="宋体" w:asciiTheme="minorEastAsia" w:hAnsiTheme="minorEastAsia" w:eastAsiaTheme="minorEastAsia"/>
          <w:sz w:val="28"/>
          <w:szCs w:val="28"/>
        </w:rPr>
      </w:pPr>
    </w:p>
    <w:p w14:paraId="5B374298">
      <w:pPr>
        <w:spacing w:line="360" w:lineRule="auto"/>
        <w:ind w:firstLine="560"/>
        <w:rPr>
          <w:rFonts w:hint="eastAsia" w:cs="宋体" w:asciiTheme="minorEastAsia" w:hAnsiTheme="minorEastAsia" w:eastAsiaTheme="minorEastAsia"/>
          <w:sz w:val="28"/>
          <w:szCs w:val="28"/>
        </w:rPr>
      </w:pPr>
    </w:p>
    <w:p w14:paraId="7202AF6F">
      <w:pPr>
        <w:spacing w:line="360" w:lineRule="auto"/>
        <w:ind w:firstLine="560"/>
        <w:rPr>
          <w:rFonts w:hint="eastAsia" w:cs="宋体" w:asciiTheme="minorEastAsia" w:hAnsiTheme="minorEastAsia" w:eastAsiaTheme="minorEastAsia"/>
          <w:b/>
          <w:szCs w:val="21"/>
          <w:u w:val="single"/>
        </w:rPr>
      </w:pPr>
    </w:p>
    <w:p w14:paraId="6C113CF1">
      <w:pPr>
        <w:spacing w:after="120" w:line="360" w:lineRule="atLeast"/>
        <w:jc w:val="center"/>
        <w:rPr>
          <w:rFonts w:hint="eastAsia" w:asciiTheme="minorEastAsia" w:hAnsiTheme="minorEastAsia" w:eastAsiaTheme="minorEastAsia"/>
          <w:b/>
          <w:sz w:val="32"/>
          <w:szCs w:val="32"/>
          <w:u w:val="single"/>
        </w:rPr>
      </w:pPr>
    </w:p>
    <w:p w14:paraId="6C5BE10F">
      <w:pPr>
        <w:spacing w:after="120" w:line="360" w:lineRule="atLeast"/>
        <w:jc w:val="center"/>
        <w:rPr>
          <w:rFonts w:hint="eastAsia" w:asciiTheme="minorEastAsia" w:hAnsiTheme="minorEastAsia" w:eastAsiaTheme="minorEastAsia"/>
          <w:b/>
          <w:sz w:val="32"/>
          <w:szCs w:val="32"/>
          <w:u w:val="single"/>
        </w:rPr>
      </w:pPr>
    </w:p>
    <w:p w14:paraId="685F869C">
      <w:pPr>
        <w:spacing w:after="120" w:line="360" w:lineRule="atLeast"/>
        <w:jc w:val="center"/>
        <w:rPr>
          <w:rFonts w:hint="eastAsia" w:cs="宋体" w:asciiTheme="minorEastAsia" w:hAnsiTheme="minorEastAsia" w:eastAsiaTheme="minorEastAsia"/>
          <w:b/>
          <w:sz w:val="36"/>
          <w:szCs w:val="36"/>
        </w:rPr>
      </w:pPr>
      <w:r>
        <w:rPr>
          <w:rFonts w:hint="eastAsia" w:cs="宋体" w:asciiTheme="minorEastAsia" w:hAnsiTheme="minorEastAsia" w:eastAsiaTheme="minorEastAsia"/>
          <w:b/>
          <w:sz w:val="36"/>
          <w:szCs w:val="36"/>
        </w:rPr>
        <w:t>2025年中国电信遵义分公司湄潭县中西医结合医院床旁结算系统开发服务采购询比文件</w:t>
      </w:r>
    </w:p>
    <w:p w14:paraId="4BE7AED9">
      <w:pPr>
        <w:spacing w:after="120" w:line="360" w:lineRule="atLeast"/>
        <w:jc w:val="center"/>
        <w:rPr>
          <w:rFonts w:hint="eastAsia" w:cs="宋体" w:asciiTheme="minorEastAsia" w:hAnsiTheme="minorEastAsia" w:eastAsiaTheme="minorEastAsia"/>
          <w:b/>
          <w:sz w:val="32"/>
          <w:szCs w:val="32"/>
        </w:rPr>
      </w:pPr>
    </w:p>
    <w:p w14:paraId="122B883C">
      <w:pPr>
        <w:spacing w:after="120" w:line="360" w:lineRule="atLeast"/>
        <w:jc w:val="center"/>
        <w:rPr>
          <w:rFonts w:hint="eastAsia" w:cs="宋体" w:asciiTheme="minorEastAsia" w:hAnsiTheme="minorEastAsia" w:eastAsiaTheme="minorEastAsia"/>
          <w:b/>
          <w:sz w:val="32"/>
          <w:szCs w:val="32"/>
        </w:rPr>
      </w:pPr>
    </w:p>
    <w:p w14:paraId="2B1631A0">
      <w:pPr>
        <w:spacing w:after="120" w:line="360" w:lineRule="atLeast"/>
        <w:jc w:val="center"/>
        <w:rPr>
          <w:rFonts w:hint="eastAsia" w:cs="宋体" w:asciiTheme="minorEastAsia" w:hAnsiTheme="minorEastAsia" w:eastAsiaTheme="minorEastAsia"/>
          <w:b/>
          <w:sz w:val="32"/>
          <w:szCs w:val="32"/>
        </w:rPr>
      </w:pPr>
    </w:p>
    <w:p w14:paraId="0D7A9A13">
      <w:pPr>
        <w:spacing w:after="120" w:line="360" w:lineRule="atLeast"/>
        <w:jc w:val="center"/>
        <w:rPr>
          <w:rFonts w:hint="eastAsia" w:cs="宋体" w:asciiTheme="minorEastAsia" w:hAnsiTheme="minorEastAsia" w:eastAsiaTheme="minorEastAsia"/>
          <w:b/>
          <w:sz w:val="32"/>
          <w:szCs w:val="32"/>
        </w:rPr>
      </w:pPr>
    </w:p>
    <w:p w14:paraId="3375814D">
      <w:pPr>
        <w:spacing w:after="120" w:line="360" w:lineRule="atLeast"/>
        <w:jc w:val="center"/>
        <w:rPr>
          <w:rFonts w:hint="eastAsia" w:cs="宋体" w:asciiTheme="minorEastAsia" w:hAnsiTheme="minorEastAsia" w:eastAsiaTheme="minorEastAsia"/>
          <w:b/>
          <w:sz w:val="32"/>
          <w:szCs w:val="32"/>
        </w:rPr>
      </w:pPr>
    </w:p>
    <w:p w14:paraId="5F442A90">
      <w:pPr>
        <w:spacing w:line="60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采购人</w:t>
      </w:r>
      <w:r>
        <w:rPr>
          <w:rFonts w:asciiTheme="minorEastAsia" w:hAnsiTheme="minorEastAsia" w:eastAsiaTheme="minorEastAsia"/>
          <w:b/>
          <w:sz w:val="24"/>
        </w:rPr>
        <w:t>：</w:t>
      </w:r>
      <w:r>
        <w:rPr>
          <w:rFonts w:hint="eastAsia" w:asciiTheme="minorEastAsia" w:hAnsiTheme="minorEastAsia" w:eastAsiaTheme="minorEastAsia"/>
          <w:b/>
          <w:sz w:val="24"/>
          <w:u w:val="single"/>
        </w:rPr>
        <w:t>【</w:t>
      </w:r>
      <w:r>
        <w:rPr>
          <w:rFonts w:hint="eastAsia" w:asciiTheme="minorEastAsia" w:hAnsiTheme="minorEastAsia" w:eastAsiaTheme="minorEastAsia" w:cstheme="minorEastAsia"/>
          <w:b/>
          <w:sz w:val="24"/>
          <w:u w:val="single"/>
        </w:rPr>
        <w:t>中国电信股份有限公司</w:t>
      </w:r>
      <w:r>
        <w:rPr>
          <w:rFonts w:hint="eastAsia" w:asciiTheme="minorEastAsia" w:hAnsiTheme="minorEastAsia" w:eastAsiaTheme="minorEastAsia" w:cstheme="minorEastAsia"/>
          <w:b/>
          <w:sz w:val="24"/>
          <w:u w:val="single"/>
          <w:lang w:val="en-US" w:eastAsia="zh-CN"/>
        </w:rPr>
        <w:t>遵义</w:t>
      </w:r>
      <w:r>
        <w:rPr>
          <w:rFonts w:hint="eastAsia" w:asciiTheme="minorEastAsia" w:hAnsiTheme="minorEastAsia" w:eastAsiaTheme="minorEastAsia" w:cstheme="minorEastAsia"/>
          <w:b/>
          <w:sz w:val="24"/>
          <w:u w:val="single"/>
        </w:rPr>
        <w:t>分公司</w:t>
      </w:r>
      <w:r>
        <w:rPr>
          <w:rFonts w:hint="eastAsia" w:asciiTheme="minorEastAsia" w:hAnsiTheme="minorEastAsia" w:eastAsiaTheme="minorEastAsia"/>
          <w:b/>
          <w:sz w:val="24"/>
          <w:u w:val="single"/>
        </w:rPr>
        <w:t>】</w:t>
      </w:r>
    </w:p>
    <w:p w14:paraId="5521C009">
      <w:pPr>
        <w:spacing w:line="60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 xml:space="preserve">      采购代理机构</w:t>
      </w:r>
      <w:r>
        <w:rPr>
          <w:rFonts w:asciiTheme="minorEastAsia" w:hAnsiTheme="minorEastAsia" w:eastAsiaTheme="minorEastAsia"/>
          <w:b/>
          <w:sz w:val="24"/>
        </w:rPr>
        <w:t>：</w:t>
      </w:r>
      <w:r>
        <w:rPr>
          <w:rFonts w:hint="eastAsia" w:asciiTheme="minorEastAsia" w:hAnsiTheme="minorEastAsia" w:eastAsiaTheme="minorEastAsia"/>
          <w:b/>
          <w:sz w:val="24"/>
          <w:u w:val="single"/>
        </w:rPr>
        <w:t>【</w:t>
      </w:r>
      <w:r>
        <w:rPr>
          <w:rFonts w:hint="eastAsia" w:ascii="宋体" w:hAnsi="宋体" w:eastAsiaTheme="minorEastAsia"/>
          <w:b/>
          <w:sz w:val="24"/>
          <w:u w:val="single"/>
        </w:rPr>
        <w:t>中通服供应链股份有限公司贵州分公司</w:t>
      </w:r>
      <w:r>
        <w:rPr>
          <w:rFonts w:hint="eastAsia" w:asciiTheme="minorEastAsia" w:hAnsiTheme="minorEastAsia" w:eastAsiaTheme="minorEastAsia"/>
          <w:b/>
          <w:sz w:val="24"/>
          <w:u w:val="single"/>
        </w:rPr>
        <w:t>】</w:t>
      </w:r>
    </w:p>
    <w:p w14:paraId="0AD0FE6D">
      <w:pPr>
        <w:spacing w:line="600" w:lineRule="exact"/>
        <w:ind w:firstLine="2640" w:firstLineChars="1100"/>
        <w:rPr>
          <w:rFonts w:hint="eastAsia" w:asciiTheme="minorEastAsia" w:hAnsiTheme="minorEastAsia" w:eastAsiaTheme="minorEastAsia"/>
          <w:b/>
          <w:sz w:val="24"/>
        </w:rPr>
      </w:pPr>
      <w:r>
        <w:rPr>
          <w:rFonts w:hint="eastAsia" w:asciiTheme="minorEastAsia" w:hAnsiTheme="minorEastAsia" w:eastAsiaTheme="minorEastAsia"/>
          <w:b/>
          <w:sz w:val="24"/>
          <w:u w:val="single"/>
        </w:rPr>
        <w:t>【202</w:t>
      </w:r>
      <w:r>
        <w:rPr>
          <w:rFonts w:hint="eastAsia" w:asciiTheme="minorEastAsia" w:hAnsiTheme="minorEastAsia" w:eastAsiaTheme="minorEastAsia"/>
          <w:b/>
          <w:sz w:val="24"/>
          <w:u w:val="single"/>
          <w:lang w:val="en-US" w:eastAsia="zh-CN"/>
        </w:rPr>
        <w:t>5</w:t>
      </w:r>
      <w:r>
        <w:rPr>
          <w:rFonts w:hint="eastAsia" w:asciiTheme="minorEastAsia" w:hAnsiTheme="minorEastAsia" w:eastAsiaTheme="minorEastAsia"/>
          <w:b/>
          <w:sz w:val="24"/>
          <w:u w:val="single"/>
        </w:rPr>
        <w:t>】</w:t>
      </w:r>
      <w:r>
        <w:rPr>
          <w:rFonts w:asciiTheme="minorEastAsia" w:hAnsiTheme="minorEastAsia" w:eastAsiaTheme="minorEastAsia"/>
          <w:b/>
          <w:sz w:val="24"/>
        </w:rPr>
        <w:t>年</w:t>
      </w:r>
      <w:r>
        <w:rPr>
          <w:rFonts w:hint="eastAsia" w:asciiTheme="minorEastAsia" w:hAnsiTheme="minorEastAsia" w:eastAsiaTheme="minorEastAsia"/>
          <w:b/>
          <w:sz w:val="24"/>
          <w:u w:val="single"/>
        </w:rPr>
        <w:t>【</w:t>
      </w:r>
      <w:r>
        <w:rPr>
          <w:rFonts w:hint="eastAsia" w:asciiTheme="minorEastAsia" w:hAnsiTheme="minorEastAsia" w:eastAsiaTheme="minorEastAsia"/>
          <w:b/>
          <w:sz w:val="24"/>
          <w:highlight w:val="none"/>
          <w:u w:val="single"/>
          <w:lang w:val="en-US" w:eastAsia="zh-CN"/>
        </w:rPr>
        <w:t>9</w:t>
      </w:r>
      <w:r>
        <w:rPr>
          <w:rFonts w:hint="eastAsia" w:asciiTheme="minorEastAsia" w:hAnsiTheme="minorEastAsia" w:eastAsiaTheme="minorEastAsia"/>
          <w:b/>
          <w:sz w:val="24"/>
          <w:u w:val="single"/>
        </w:rPr>
        <w:t>】</w:t>
      </w:r>
      <w:r>
        <w:rPr>
          <w:rFonts w:asciiTheme="minorEastAsia" w:hAnsiTheme="minorEastAsia" w:eastAsiaTheme="minorEastAsia"/>
          <w:b/>
          <w:sz w:val="24"/>
        </w:rPr>
        <w:t>月</w:t>
      </w:r>
      <w:r>
        <w:rPr>
          <w:rFonts w:hint="eastAsia" w:asciiTheme="minorEastAsia" w:hAnsiTheme="minorEastAsia" w:eastAsiaTheme="minorEastAsia"/>
          <w:b/>
          <w:sz w:val="24"/>
          <w:highlight w:val="none"/>
          <w:u w:val="single"/>
        </w:rPr>
        <w:t>【</w:t>
      </w:r>
      <w:r>
        <w:rPr>
          <w:rFonts w:hint="eastAsia" w:asciiTheme="minorEastAsia" w:hAnsiTheme="minorEastAsia" w:eastAsiaTheme="minorEastAsia"/>
          <w:b/>
          <w:sz w:val="24"/>
          <w:highlight w:val="none"/>
          <w:u w:val="single"/>
          <w:lang w:val="en-US" w:eastAsia="zh-CN"/>
        </w:rPr>
        <w:t>11</w:t>
      </w:r>
      <w:r>
        <w:rPr>
          <w:rFonts w:hint="eastAsia" w:asciiTheme="minorEastAsia" w:hAnsiTheme="minorEastAsia" w:eastAsiaTheme="minorEastAsia"/>
          <w:b/>
          <w:sz w:val="24"/>
          <w:highlight w:val="none"/>
          <w:u w:val="single"/>
        </w:rPr>
        <w:t>】</w:t>
      </w:r>
      <w:r>
        <w:rPr>
          <w:rFonts w:asciiTheme="minorEastAsia" w:hAnsiTheme="minorEastAsia" w:eastAsiaTheme="minorEastAsia"/>
          <w:b/>
          <w:sz w:val="24"/>
        </w:rPr>
        <w:t>日</w:t>
      </w:r>
    </w:p>
    <w:p w14:paraId="430EAAAF">
      <w:pPr>
        <w:spacing w:after="120" w:line="360" w:lineRule="atLeast"/>
        <w:jc w:val="center"/>
        <w:rPr>
          <w:rFonts w:hint="eastAsia" w:cs="宋体" w:asciiTheme="minorEastAsia" w:hAnsiTheme="minorEastAsia" w:eastAsiaTheme="minorEastAsia"/>
          <w:b/>
          <w:sz w:val="24"/>
        </w:rPr>
        <w:sectPr>
          <w:headerReference r:id="rId3" w:type="default"/>
          <w:footerReference r:id="rId4" w:type="default"/>
          <w:pgSz w:w="11906" w:h="16838"/>
          <w:pgMar w:top="1440" w:right="1701" w:bottom="1440" w:left="1701" w:header="851" w:footer="992" w:gutter="0"/>
          <w:pgNumType w:fmt="decimal" w:start="1"/>
          <w:cols w:space="720" w:num="1"/>
          <w:docGrid w:type="linesAndChars" w:linePitch="380" w:charSpace="0"/>
        </w:sectPr>
      </w:pPr>
    </w:p>
    <w:p w14:paraId="4764A1CE">
      <w:pPr>
        <w:spacing w:after="120" w:line="360" w:lineRule="atLeast"/>
        <w:jc w:val="center"/>
        <w:rPr>
          <w:rFonts w:hint="eastAsia" w:cs="宋体" w:asciiTheme="minorEastAsia" w:hAnsiTheme="minorEastAsia" w:eastAsiaTheme="minorEastAsia"/>
          <w:b/>
          <w:sz w:val="24"/>
        </w:rPr>
      </w:pPr>
      <w:r>
        <w:rPr>
          <w:rFonts w:hint="eastAsia" w:cs="宋体" w:asciiTheme="minorEastAsia" w:hAnsiTheme="minorEastAsia" w:eastAsiaTheme="minorEastAsia"/>
          <w:b/>
          <w:sz w:val="24"/>
        </w:rPr>
        <w:t>目  录</w:t>
      </w:r>
    </w:p>
    <w:p w14:paraId="2EDEA603">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TOC \o "1-3" \h \z \u \* MERGEFORMAT </w:instrText>
      </w:r>
      <w:r>
        <w:rPr>
          <w:rFonts w:hint="default" w:cs="宋体" w:asciiTheme="minorEastAsia" w:hAnsiTheme="minorEastAsia" w:eastAsiaTheme="minorEastAsia"/>
          <w:lang w:val="en-US"/>
        </w:rPr>
        <w:fldChar w:fldCharType="separate"/>
      </w: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_Toc4207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lang w:val="en-US" w:eastAsia="zh-CN" w:bidi="ar-SA"/>
        </w:rPr>
        <w:t>第一章</w:t>
      </w:r>
      <w:r>
        <w:rPr>
          <w:rFonts w:hint="eastAsia" w:cs="宋体" w:asciiTheme="minorEastAsia" w:hAnsiTheme="minorEastAsia" w:eastAsiaTheme="minorEastAsia"/>
          <w:bCs w:val="0"/>
          <w:kern w:val="0"/>
          <w:szCs w:val="28"/>
        </w:rPr>
        <w:t xml:space="preserve">  询比公告</w:t>
      </w:r>
      <w:r>
        <w:tab/>
      </w:r>
      <w:r>
        <w:fldChar w:fldCharType="begin"/>
      </w:r>
      <w:r>
        <w:instrText xml:space="preserve"> PAGEREF _Toc4207 \h </w:instrText>
      </w:r>
      <w:r>
        <w:fldChar w:fldCharType="separate"/>
      </w:r>
      <w:r>
        <w:t>1</w:t>
      </w:r>
      <w:r>
        <w:fldChar w:fldCharType="end"/>
      </w:r>
      <w:r>
        <w:rPr>
          <w:rFonts w:hint="default" w:cs="宋体" w:asciiTheme="minorEastAsia" w:hAnsiTheme="minorEastAsia" w:eastAsiaTheme="minorEastAsia"/>
          <w:lang w:val="en-US"/>
        </w:rPr>
        <w:fldChar w:fldCharType="end"/>
      </w:r>
    </w:p>
    <w:p w14:paraId="30B98207">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_Toc11454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第二章</w:t>
      </w:r>
      <w:r>
        <w:rPr>
          <w:rFonts w:cs="宋体" w:asciiTheme="minorEastAsia" w:hAnsiTheme="minorEastAsia" w:eastAsiaTheme="minorEastAsia"/>
          <w:bCs w:val="0"/>
          <w:kern w:val="0"/>
          <w:szCs w:val="28"/>
        </w:rPr>
        <w:t xml:space="preserve">  </w:t>
      </w:r>
      <w:r>
        <w:rPr>
          <w:rFonts w:hint="eastAsia" w:cs="宋体" w:asciiTheme="minorEastAsia" w:hAnsiTheme="minorEastAsia" w:eastAsiaTheme="minorEastAsia"/>
          <w:bCs w:val="0"/>
          <w:kern w:val="0"/>
          <w:szCs w:val="28"/>
        </w:rPr>
        <w:t>供应商须知</w:t>
      </w:r>
      <w:r>
        <w:tab/>
      </w:r>
      <w:r>
        <w:fldChar w:fldCharType="begin"/>
      </w:r>
      <w:r>
        <w:instrText xml:space="preserve"> PAGEREF _Toc11454 \h </w:instrText>
      </w:r>
      <w:r>
        <w:fldChar w:fldCharType="separate"/>
      </w:r>
      <w:r>
        <w:t>6</w:t>
      </w:r>
      <w:r>
        <w:fldChar w:fldCharType="end"/>
      </w:r>
      <w:r>
        <w:rPr>
          <w:rFonts w:hint="default" w:cs="宋体" w:asciiTheme="minorEastAsia" w:hAnsiTheme="minorEastAsia" w:eastAsiaTheme="minorEastAsia"/>
          <w:lang w:val="en-US"/>
        </w:rPr>
        <w:fldChar w:fldCharType="end"/>
      </w:r>
    </w:p>
    <w:p w14:paraId="418644AD">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_Toc1103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szCs w:val="28"/>
          <w:lang w:val="en-US" w:eastAsia="zh-CN"/>
        </w:rPr>
        <w:t xml:space="preserve">第三章 </w:t>
      </w:r>
      <w:r>
        <w:rPr>
          <w:rFonts w:hint="eastAsia" w:cs="宋体" w:asciiTheme="minorEastAsia" w:hAnsiTheme="minorEastAsia" w:eastAsiaTheme="minorEastAsia"/>
          <w:bCs w:val="0"/>
          <w:kern w:val="0"/>
          <w:szCs w:val="28"/>
        </w:rPr>
        <w:t>评审办法</w:t>
      </w:r>
      <w:r>
        <w:tab/>
      </w:r>
      <w:r>
        <w:fldChar w:fldCharType="begin"/>
      </w:r>
      <w:r>
        <w:instrText xml:space="preserve"> PAGEREF _Toc1103 \h </w:instrText>
      </w:r>
      <w:r>
        <w:fldChar w:fldCharType="separate"/>
      </w:r>
      <w:r>
        <w:t>27</w:t>
      </w:r>
      <w:r>
        <w:fldChar w:fldCharType="end"/>
      </w:r>
      <w:r>
        <w:rPr>
          <w:rFonts w:hint="default" w:cs="宋体" w:asciiTheme="minorEastAsia" w:hAnsiTheme="minorEastAsia" w:eastAsiaTheme="minorEastAsia"/>
          <w:lang w:val="en-US"/>
        </w:rPr>
        <w:fldChar w:fldCharType="end"/>
      </w:r>
    </w:p>
    <w:p w14:paraId="3366D84E">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_Toc1673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第四章 商务规范书[即合同文本]</w:t>
      </w:r>
      <w:r>
        <w:tab/>
      </w:r>
      <w:r>
        <w:fldChar w:fldCharType="begin"/>
      </w:r>
      <w:r>
        <w:instrText xml:space="preserve"> PAGEREF _Toc1673 \h </w:instrText>
      </w:r>
      <w:r>
        <w:fldChar w:fldCharType="separate"/>
      </w:r>
      <w:r>
        <w:t>38</w:t>
      </w:r>
      <w:r>
        <w:fldChar w:fldCharType="end"/>
      </w:r>
      <w:r>
        <w:rPr>
          <w:rFonts w:hint="default" w:cs="宋体" w:asciiTheme="minorEastAsia" w:hAnsiTheme="minorEastAsia" w:eastAsiaTheme="minorEastAsia"/>
          <w:lang w:val="en-US"/>
        </w:rPr>
        <w:fldChar w:fldCharType="end"/>
      </w:r>
    </w:p>
    <w:p w14:paraId="06ED8079">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_Toc8216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第五章 技术规范书</w:t>
      </w:r>
      <w:r>
        <w:tab/>
      </w:r>
      <w:r>
        <w:fldChar w:fldCharType="begin"/>
      </w:r>
      <w:r>
        <w:instrText xml:space="preserve"> PAGEREF _Toc8216 \h </w:instrText>
      </w:r>
      <w:r>
        <w:fldChar w:fldCharType="separate"/>
      </w:r>
      <w:r>
        <w:t>70</w:t>
      </w:r>
      <w:r>
        <w:fldChar w:fldCharType="end"/>
      </w:r>
      <w:r>
        <w:rPr>
          <w:rFonts w:hint="default" w:cs="宋体" w:asciiTheme="minorEastAsia" w:hAnsiTheme="minorEastAsia" w:eastAsiaTheme="minorEastAsia"/>
          <w:lang w:val="en-US"/>
        </w:rPr>
        <w:fldChar w:fldCharType="end"/>
      </w:r>
    </w:p>
    <w:p w14:paraId="7416DCCD">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_Toc24869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rPr>
        <w:t>第六章  响应文件格式</w:t>
      </w:r>
      <w:r>
        <w:tab/>
      </w:r>
      <w:r>
        <w:fldChar w:fldCharType="begin"/>
      </w:r>
      <w:r>
        <w:instrText xml:space="preserve"> PAGEREF _Toc24869 \h </w:instrText>
      </w:r>
      <w:r>
        <w:fldChar w:fldCharType="separate"/>
      </w:r>
      <w:r>
        <w:t>77</w:t>
      </w:r>
      <w:r>
        <w:fldChar w:fldCharType="end"/>
      </w:r>
      <w:r>
        <w:rPr>
          <w:rFonts w:hint="default" w:cs="宋体" w:asciiTheme="minorEastAsia" w:hAnsiTheme="minorEastAsia" w:eastAsiaTheme="minorEastAsia"/>
          <w:lang w:val="en-US"/>
        </w:rPr>
        <w:fldChar w:fldCharType="end"/>
      </w:r>
    </w:p>
    <w:p w14:paraId="3FC2A418">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_Toc23919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w:t>
      </w:r>
      <w:r>
        <w:rPr>
          <w:rFonts w:hint="eastAsia" w:asciiTheme="minorEastAsia" w:hAnsiTheme="minorEastAsia" w:eastAsiaTheme="minorEastAsia"/>
          <w:szCs w:val="24"/>
          <w:highlight w:val="none"/>
        </w:rPr>
        <w:t>商务</w:t>
      </w:r>
      <w:r>
        <w:rPr>
          <w:rFonts w:hint="eastAsia" w:asciiTheme="minorEastAsia" w:hAnsiTheme="minorEastAsia" w:eastAsiaTheme="minorEastAsia"/>
          <w:szCs w:val="24"/>
          <w:highlight w:val="none"/>
          <w:lang w:eastAsia="zh-CN"/>
        </w:rPr>
        <w:t>响应文件</w:t>
      </w:r>
      <w:r>
        <w:rPr>
          <w:rFonts w:hint="eastAsia" w:asciiTheme="minorEastAsia" w:hAnsiTheme="minorEastAsia" w:eastAsiaTheme="minorEastAsia"/>
          <w:szCs w:val="24"/>
          <w:highlight w:val="none"/>
        </w:rPr>
        <w:t>封面</w:t>
      </w:r>
      <w:r>
        <w:tab/>
      </w:r>
      <w:r>
        <w:fldChar w:fldCharType="begin"/>
      </w:r>
      <w:r>
        <w:instrText xml:space="preserve"> PAGEREF _Toc23919 \h </w:instrText>
      </w:r>
      <w:r>
        <w:fldChar w:fldCharType="separate"/>
      </w:r>
      <w:r>
        <w:t>79</w:t>
      </w:r>
      <w:r>
        <w:fldChar w:fldCharType="end"/>
      </w:r>
      <w:r>
        <w:rPr>
          <w:rFonts w:hint="default" w:cs="宋体" w:asciiTheme="minorEastAsia" w:hAnsiTheme="minorEastAsia" w:eastAsiaTheme="minorEastAsia"/>
          <w:lang w:val="en-US"/>
        </w:rPr>
        <w:fldChar w:fldCharType="end"/>
      </w:r>
    </w:p>
    <w:p w14:paraId="23CF2B1E">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_Toc14947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w:t>
      </w:r>
      <w:r>
        <w:rPr>
          <w:rFonts w:hint="eastAsia" w:asciiTheme="minorEastAsia" w:hAnsiTheme="minorEastAsia" w:eastAsiaTheme="minorEastAsia"/>
          <w:szCs w:val="24"/>
          <w:highlight w:val="none"/>
        </w:rPr>
        <w:t>初步评审索引表</w:t>
      </w:r>
      <w:r>
        <w:tab/>
      </w:r>
      <w:r>
        <w:fldChar w:fldCharType="begin"/>
      </w:r>
      <w:r>
        <w:instrText xml:space="preserve"> PAGEREF _Toc14947 \h </w:instrText>
      </w:r>
      <w:r>
        <w:fldChar w:fldCharType="separate"/>
      </w:r>
      <w:r>
        <w:t>80</w:t>
      </w:r>
      <w:r>
        <w:fldChar w:fldCharType="end"/>
      </w:r>
      <w:r>
        <w:rPr>
          <w:rFonts w:hint="default" w:cs="宋体" w:asciiTheme="minorEastAsia" w:hAnsiTheme="minorEastAsia" w:eastAsiaTheme="minorEastAsia"/>
          <w:lang w:val="en-US"/>
        </w:rPr>
        <w:fldChar w:fldCharType="end"/>
      </w:r>
    </w:p>
    <w:p w14:paraId="464C10F5">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_Toc27118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w:t>
      </w:r>
      <w:r>
        <w:rPr>
          <w:rFonts w:hint="eastAsia" w:asciiTheme="minorEastAsia" w:hAnsiTheme="minorEastAsia" w:eastAsiaTheme="minorEastAsia"/>
          <w:szCs w:val="24"/>
          <w:highlight w:val="none"/>
        </w:rPr>
        <w:t>商务评审索引表</w:t>
      </w:r>
      <w:r>
        <w:tab/>
      </w:r>
      <w:r>
        <w:fldChar w:fldCharType="begin"/>
      </w:r>
      <w:r>
        <w:instrText xml:space="preserve"> PAGEREF _Toc27118 \h </w:instrText>
      </w:r>
      <w:r>
        <w:fldChar w:fldCharType="separate"/>
      </w:r>
      <w:r>
        <w:t>81</w:t>
      </w:r>
      <w:r>
        <w:fldChar w:fldCharType="end"/>
      </w:r>
      <w:r>
        <w:rPr>
          <w:rFonts w:hint="default" w:cs="宋体" w:asciiTheme="minorEastAsia" w:hAnsiTheme="minorEastAsia" w:eastAsiaTheme="minorEastAsia"/>
          <w:lang w:val="en-US"/>
        </w:rPr>
        <w:fldChar w:fldCharType="end"/>
      </w:r>
    </w:p>
    <w:p w14:paraId="464AB74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_Toc22721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4.</w:t>
      </w:r>
      <w:r>
        <w:rPr>
          <w:rFonts w:hint="eastAsia" w:asciiTheme="minorEastAsia" w:hAnsiTheme="minorEastAsia" w:eastAsiaTheme="minorEastAsia"/>
          <w:szCs w:val="24"/>
          <w:highlight w:val="none"/>
        </w:rPr>
        <w:t>专用印章授权函（如有）</w:t>
      </w:r>
      <w:r>
        <w:tab/>
      </w:r>
      <w:r>
        <w:fldChar w:fldCharType="begin"/>
      </w:r>
      <w:r>
        <w:instrText xml:space="preserve"> PAGEREF _Toc22721 \h </w:instrText>
      </w:r>
      <w:r>
        <w:fldChar w:fldCharType="separate"/>
      </w:r>
      <w:r>
        <w:t>82</w:t>
      </w:r>
      <w:r>
        <w:fldChar w:fldCharType="end"/>
      </w:r>
      <w:r>
        <w:rPr>
          <w:rFonts w:hint="default" w:cs="宋体" w:asciiTheme="minorEastAsia" w:hAnsiTheme="minorEastAsia" w:eastAsiaTheme="minorEastAsia"/>
          <w:lang w:val="en-US"/>
        </w:rPr>
        <w:fldChar w:fldCharType="end"/>
      </w:r>
    </w:p>
    <w:p w14:paraId="160653F8">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_Toc12196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5.</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函</w:t>
      </w:r>
      <w:r>
        <w:tab/>
      </w:r>
      <w:r>
        <w:fldChar w:fldCharType="begin"/>
      </w:r>
      <w:r>
        <w:instrText xml:space="preserve"> PAGEREF _Toc12196 \h </w:instrText>
      </w:r>
      <w:r>
        <w:fldChar w:fldCharType="separate"/>
      </w:r>
      <w:r>
        <w:t>83</w:t>
      </w:r>
      <w:r>
        <w:fldChar w:fldCharType="end"/>
      </w:r>
      <w:r>
        <w:rPr>
          <w:rFonts w:hint="default" w:cs="宋体" w:asciiTheme="minorEastAsia" w:hAnsiTheme="minorEastAsia" w:eastAsiaTheme="minorEastAsia"/>
          <w:lang w:val="en-US"/>
        </w:rPr>
        <w:fldChar w:fldCharType="end"/>
      </w:r>
    </w:p>
    <w:p w14:paraId="7DD93A41">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_Toc12561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6.</w:t>
      </w:r>
      <w:r>
        <w:rPr>
          <w:rFonts w:hint="eastAsia" w:asciiTheme="minorEastAsia" w:hAnsiTheme="minorEastAsia" w:eastAsiaTheme="minorEastAsia"/>
          <w:szCs w:val="24"/>
          <w:highlight w:val="none"/>
        </w:rPr>
        <w:t>法定代表人/负责人身份证明</w:t>
      </w:r>
      <w:r>
        <w:tab/>
      </w:r>
      <w:r>
        <w:fldChar w:fldCharType="begin"/>
      </w:r>
      <w:r>
        <w:instrText xml:space="preserve"> PAGEREF _Toc12561 \h </w:instrText>
      </w:r>
      <w:r>
        <w:fldChar w:fldCharType="separate"/>
      </w:r>
      <w:r>
        <w:t>85</w:t>
      </w:r>
      <w:r>
        <w:fldChar w:fldCharType="end"/>
      </w:r>
      <w:r>
        <w:rPr>
          <w:rFonts w:hint="default" w:cs="宋体" w:asciiTheme="minorEastAsia" w:hAnsiTheme="minorEastAsia" w:eastAsiaTheme="minorEastAsia"/>
          <w:lang w:val="en-US"/>
        </w:rPr>
        <w:fldChar w:fldCharType="end"/>
      </w:r>
    </w:p>
    <w:p w14:paraId="3CF1AC18">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_Toc2556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7.</w:t>
      </w:r>
      <w:r>
        <w:rPr>
          <w:rFonts w:hint="eastAsia" w:asciiTheme="minorEastAsia" w:hAnsiTheme="minorEastAsia" w:eastAsiaTheme="minorEastAsia"/>
          <w:szCs w:val="24"/>
          <w:highlight w:val="none"/>
        </w:rPr>
        <w:t>法定代表人/负责人授权委托书</w:t>
      </w:r>
      <w:r>
        <w:tab/>
      </w:r>
      <w:r>
        <w:fldChar w:fldCharType="begin"/>
      </w:r>
      <w:r>
        <w:instrText xml:space="preserve"> PAGEREF _Toc2556 \h </w:instrText>
      </w:r>
      <w:r>
        <w:fldChar w:fldCharType="separate"/>
      </w:r>
      <w:r>
        <w:t>86</w:t>
      </w:r>
      <w:r>
        <w:fldChar w:fldCharType="end"/>
      </w:r>
      <w:r>
        <w:rPr>
          <w:rFonts w:hint="default" w:cs="宋体" w:asciiTheme="minorEastAsia" w:hAnsiTheme="minorEastAsia" w:eastAsiaTheme="minorEastAsia"/>
          <w:lang w:val="en-US"/>
        </w:rPr>
        <w:fldChar w:fldCharType="end"/>
      </w:r>
    </w:p>
    <w:p w14:paraId="70AAEEB8">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_Toc22871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8.</w:t>
      </w:r>
      <w:r>
        <w:rPr>
          <w:rFonts w:hint="eastAsia" w:asciiTheme="minorEastAsia" w:hAnsiTheme="minorEastAsia" w:eastAsiaTheme="minorEastAsia"/>
          <w:szCs w:val="24"/>
          <w:highlight w:val="none"/>
        </w:rPr>
        <w:t>廉洁</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承诺书</w:t>
      </w:r>
      <w:r>
        <w:tab/>
      </w:r>
      <w:r>
        <w:fldChar w:fldCharType="begin"/>
      </w:r>
      <w:r>
        <w:instrText xml:space="preserve"> PAGEREF _Toc22871 \h </w:instrText>
      </w:r>
      <w:r>
        <w:fldChar w:fldCharType="separate"/>
      </w:r>
      <w:r>
        <w:t>87</w:t>
      </w:r>
      <w:r>
        <w:fldChar w:fldCharType="end"/>
      </w:r>
      <w:r>
        <w:rPr>
          <w:rFonts w:hint="default" w:cs="宋体" w:asciiTheme="minorEastAsia" w:hAnsiTheme="minorEastAsia" w:eastAsiaTheme="minorEastAsia"/>
          <w:lang w:val="en-US"/>
        </w:rPr>
        <w:fldChar w:fldCharType="end"/>
      </w:r>
    </w:p>
    <w:p w14:paraId="62E8A52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_Toc18396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9.特定关系信息收集表</w:t>
      </w:r>
      <w:r>
        <w:tab/>
      </w:r>
      <w:r>
        <w:fldChar w:fldCharType="begin"/>
      </w:r>
      <w:r>
        <w:instrText xml:space="preserve"> PAGEREF _Toc18396 \h </w:instrText>
      </w:r>
      <w:r>
        <w:fldChar w:fldCharType="separate"/>
      </w:r>
      <w:r>
        <w:t>88</w:t>
      </w:r>
      <w:r>
        <w:fldChar w:fldCharType="end"/>
      </w:r>
      <w:r>
        <w:rPr>
          <w:rFonts w:hint="default" w:cs="宋体" w:asciiTheme="minorEastAsia" w:hAnsiTheme="minorEastAsia" w:eastAsiaTheme="minorEastAsia"/>
          <w:lang w:val="en-US"/>
        </w:rPr>
        <w:fldChar w:fldCharType="end"/>
      </w:r>
    </w:p>
    <w:p w14:paraId="36DE501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_Toc26045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10.近【五】年发生的诉讼及仲裁情况</w:t>
      </w:r>
      <w:r>
        <w:tab/>
      </w:r>
      <w:r>
        <w:fldChar w:fldCharType="begin"/>
      </w:r>
      <w:r>
        <w:instrText xml:space="preserve"> PAGEREF _Toc26045 \h </w:instrText>
      </w:r>
      <w:r>
        <w:fldChar w:fldCharType="separate"/>
      </w:r>
      <w:r>
        <w:t>90</w:t>
      </w:r>
      <w:r>
        <w:fldChar w:fldCharType="end"/>
      </w:r>
      <w:r>
        <w:rPr>
          <w:rFonts w:hint="default" w:cs="宋体" w:asciiTheme="minorEastAsia" w:hAnsiTheme="minorEastAsia" w:eastAsiaTheme="minorEastAsia"/>
          <w:lang w:val="en-US"/>
        </w:rPr>
        <w:fldChar w:fldCharType="end"/>
      </w:r>
    </w:p>
    <w:p w14:paraId="218FEA95">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_Toc4673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11.</w:t>
      </w:r>
      <w:r>
        <w:rPr>
          <w:rFonts w:hint="eastAsia" w:asciiTheme="minorEastAsia" w:hAnsiTheme="minorEastAsia" w:eastAsiaTheme="minorEastAsia"/>
          <w:szCs w:val="24"/>
          <w:highlight w:val="none"/>
          <w:lang w:val="en-US" w:eastAsia="zh-CN"/>
        </w:rPr>
        <w:t>资格审查资料</w:t>
      </w:r>
      <w:r>
        <w:tab/>
      </w:r>
      <w:r>
        <w:fldChar w:fldCharType="begin"/>
      </w:r>
      <w:r>
        <w:instrText xml:space="preserve"> PAGEREF _Toc4673 \h </w:instrText>
      </w:r>
      <w:r>
        <w:fldChar w:fldCharType="separate"/>
      </w:r>
      <w:r>
        <w:t>91</w:t>
      </w:r>
      <w:r>
        <w:fldChar w:fldCharType="end"/>
      </w:r>
      <w:r>
        <w:rPr>
          <w:rFonts w:hint="default" w:cs="宋体" w:asciiTheme="minorEastAsia" w:hAnsiTheme="minorEastAsia" w:eastAsiaTheme="minorEastAsia"/>
          <w:lang w:val="en-US"/>
        </w:rPr>
        <w:fldChar w:fldCharType="end"/>
      </w:r>
    </w:p>
    <w:p w14:paraId="4BF072B0">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_Toc29424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12.</w:t>
      </w:r>
      <w:r>
        <w:rPr>
          <w:rFonts w:hint="eastAsia" w:asciiTheme="minorEastAsia" w:hAnsiTheme="minorEastAsia" w:eastAsiaTheme="minorEastAsia"/>
          <w:szCs w:val="24"/>
          <w:highlight w:val="none"/>
          <w:lang w:val="en-US" w:eastAsia="zh-CN"/>
        </w:rPr>
        <w:t>采购</w:t>
      </w:r>
      <w:r>
        <w:rPr>
          <w:rFonts w:hint="eastAsia" w:asciiTheme="minorEastAsia" w:hAnsiTheme="minorEastAsia" w:eastAsiaTheme="minorEastAsia"/>
          <w:szCs w:val="24"/>
          <w:highlight w:val="none"/>
        </w:rPr>
        <w:t>代理服务费支付承诺函</w:t>
      </w:r>
      <w:r>
        <w:tab/>
      </w:r>
      <w:r>
        <w:fldChar w:fldCharType="begin"/>
      </w:r>
      <w:r>
        <w:instrText xml:space="preserve"> PAGEREF _Toc29424 \h </w:instrText>
      </w:r>
      <w:r>
        <w:fldChar w:fldCharType="separate"/>
      </w:r>
      <w:r>
        <w:t>92</w:t>
      </w:r>
      <w:r>
        <w:fldChar w:fldCharType="end"/>
      </w:r>
      <w:r>
        <w:rPr>
          <w:rFonts w:hint="default" w:cs="宋体" w:asciiTheme="minorEastAsia" w:hAnsiTheme="minorEastAsia" w:eastAsiaTheme="minorEastAsia"/>
          <w:lang w:val="en-US"/>
        </w:rPr>
        <w:fldChar w:fldCharType="end"/>
      </w:r>
    </w:p>
    <w:p w14:paraId="7600ACE2">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_Toc29725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13.</w:t>
      </w:r>
      <w:r>
        <w:rPr>
          <w:rFonts w:hint="eastAsia" w:asciiTheme="minorEastAsia" w:hAnsiTheme="minorEastAsia" w:eastAsiaTheme="minorEastAsia"/>
          <w:szCs w:val="24"/>
          <w:highlight w:val="none"/>
          <w:lang w:eastAsia="zh-CN"/>
        </w:rPr>
        <w:t>供应商</w:t>
      </w:r>
      <w:r>
        <w:rPr>
          <w:rFonts w:hint="eastAsia" w:asciiTheme="minorEastAsia" w:hAnsiTheme="minorEastAsia" w:eastAsiaTheme="minorEastAsia"/>
          <w:szCs w:val="24"/>
          <w:highlight w:val="none"/>
        </w:rPr>
        <w:t>控股及管理关系情况申报表</w:t>
      </w:r>
      <w:r>
        <w:tab/>
      </w:r>
      <w:r>
        <w:fldChar w:fldCharType="begin"/>
      </w:r>
      <w:r>
        <w:instrText xml:space="preserve"> PAGEREF _Toc29725 \h </w:instrText>
      </w:r>
      <w:r>
        <w:fldChar w:fldCharType="separate"/>
      </w:r>
      <w:r>
        <w:t>93</w:t>
      </w:r>
      <w:r>
        <w:fldChar w:fldCharType="end"/>
      </w:r>
      <w:r>
        <w:rPr>
          <w:rFonts w:hint="default" w:cs="宋体" w:asciiTheme="minorEastAsia" w:hAnsiTheme="minorEastAsia" w:eastAsiaTheme="minorEastAsia"/>
          <w:lang w:val="en-US"/>
        </w:rPr>
        <w:fldChar w:fldCharType="end"/>
      </w:r>
    </w:p>
    <w:p w14:paraId="396A24F5">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_Toc17689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14.</w:t>
      </w:r>
      <w:r>
        <w:rPr>
          <w:rFonts w:hint="eastAsia" w:asciiTheme="minorEastAsia" w:hAnsiTheme="minorEastAsia" w:eastAsiaTheme="minorEastAsia"/>
          <w:szCs w:val="24"/>
          <w:highlight w:val="none"/>
          <w:lang w:val="en-US" w:eastAsia="zh-CN"/>
        </w:rPr>
        <w:t>响应</w:t>
      </w:r>
      <w:r>
        <w:rPr>
          <w:rFonts w:hint="eastAsia" w:asciiTheme="minorEastAsia" w:hAnsiTheme="minorEastAsia" w:eastAsiaTheme="minorEastAsia"/>
          <w:szCs w:val="24"/>
          <w:highlight w:val="none"/>
          <w:lang w:eastAsia="zh-CN"/>
        </w:rPr>
        <w:t>人须知前附表偏离表</w:t>
      </w:r>
      <w:r>
        <w:tab/>
      </w:r>
      <w:r>
        <w:fldChar w:fldCharType="begin"/>
      </w:r>
      <w:r>
        <w:instrText xml:space="preserve"> PAGEREF _Toc17689 \h </w:instrText>
      </w:r>
      <w:r>
        <w:fldChar w:fldCharType="separate"/>
      </w:r>
      <w:r>
        <w:t>94</w:t>
      </w:r>
      <w:r>
        <w:fldChar w:fldCharType="end"/>
      </w:r>
      <w:r>
        <w:rPr>
          <w:rFonts w:hint="default" w:cs="宋体" w:asciiTheme="minorEastAsia" w:hAnsiTheme="minorEastAsia" w:eastAsiaTheme="minorEastAsia"/>
          <w:lang w:val="en-US"/>
        </w:rPr>
        <w:fldChar w:fldCharType="end"/>
      </w:r>
    </w:p>
    <w:p w14:paraId="515A6B2D">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_Toc23052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szCs w:val="24"/>
          <w:highlight w:val="none"/>
          <w:lang w:val="en-US" w:eastAsia="zh-CN"/>
        </w:rPr>
        <w:t>15.商务条款偏离表</w:t>
      </w:r>
      <w:r>
        <w:tab/>
      </w:r>
      <w:r>
        <w:fldChar w:fldCharType="begin"/>
      </w:r>
      <w:r>
        <w:instrText xml:space="preserve"> PAGEREF _Toc23052 \h </w:instrText>
      </w:r>
      <w:r>
        <w:fldChar w:fldCharType="separate"/>
      </w:r>
      <w:r>
        <w:t>95</w:t>
      </w:r>
      <w:r>
        <w:fldChar w:fldCharType="end"/>
      </w:r>
      <w:r>
        <w:rPr>
          <w:rFonts w:hint="default" w:cs="宋体" w:asciiTheme="minorEastAsia" w:hAnsiTheme="minorEastAsia" w:eastAsiaTheme="minorEastAsia"/>
          <w:lang w:val="en-US"/>
        </w:rPr>
        <w:fldChar w:fldCharType="end"/>
      </w:r>
    </w:p>
    <w:p w14:paraId="49EF17CD">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_Toc13100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lang w:val="en-US" w:eastAsia="zh-CN"/>
        </w:rPr>
        <w:t>16.合同条款偏离表</w:t>
      </w:r>
      <w:r>
        <w:tab/>
      </w:r>
      <w:r>
        <w:fldChar w:fldCharType="begin"/>
      </w:r>
      <w:r>
        <w:instrText xml:space="preserve"> PAGEREF _Toc13100 \h </w:instrText>
      </w:r>
      <w:r>
        <w:fldChar w:fldCharType="separate"/>
      </w:r>
      <w:r>
        <w:t>97</w:t>
      </w:r>
      <w:r>
        <w:fldChar w:fldCharType="end"/>
      </w:r>
      <w:r>
        <w:rPr>
          <w:rFonts w:hint="default" w:cs="宋体" w:asciiTheme="minorEastAsia" w:hAnsiTheme="minorEastAsia" w:eastAsiaTheme="minorEastAsia"/>
          <w:lang w:val="en-US"/>
        </w:rPr>
        <w:fldChar w:fldCharType="end"/>
      </w:r>
    </w:p>
    <w:p w14:paraId="411994EC">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_Toc4308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17.</w:t>
      </w:r>
      <w:r>
        <w:rPr>
          <w:rFonts w:hint="eastAsia" w:asciiTheme="minorEastAsia" w:hAnsiTheme="minorEastAsia" w:eastAsiaTheme="minorEastAsia"/>
          <w:szCs w:val="24"/>
          <w:highlight w:val="none"/>
        </w:rPr>
        <w:t>网络</w:t>
      </w:r>
      <w:r>
        <w:rPr>
          <w:rFonts w:hint="eastAsia" w:asciiTheme="minorEastAsia" w:hAnsiTheme="minorEastAsia" w:eastAsiaTheme="minorEastAsia"/>
          <w:szCs w:val="24"/>
          <w:highlight w:val="none"/>
          <w:lang w:val="en-US" w:eastAsia="zh-CN"/>
        </w:rPr>
        <w:t>及</w:t>
      </w:r>
      <w:r>
        <w:rPr>
          <w:rFonts w:hint="eastAsia" w:asciiTheme="minorEastAsia" w:hAnsiTheme="minorEastAsia" w:eastAsiaTheme="minorEastAsia"/>
          <w:szCs w:val="24"/>
          <w:highlight w:val="none"/>
        </w:rPr>
        <w:t>信息安全承诺书</w:t>
      </w:r>
      <w:r>
        <w:tab/>
      </w:r>
      <w:r>
        <w:fldChar w:fldCharType="begin"/>
      </w:r>
      <w:r>
        <w:instrText xml:space="preserve"> PAGEREF _Toc4308 \h </w:instrText>
      </w:r>
      <w:r>
        <w:fldChar w:fldCharType="separate"/>
      </w:r>
      <w:r>
        <w:t>98</w:t>
      </w:r>
      <w:r>
        <w:fldChar w:fldCharType="end"/>
      </w:r>
      <w:r>
        <w:rPr>
          <w:rFonts w:hint="default" w:cs="宋体" w:asciiTheme="minorEastAsia" w:hAnsiTheme="minorEastAsia" w:eastAsiaTheme="minorEastAsia"/>
          <w:lang w:val="en-US"/>
        </w:rPr>
        <w:fldChar w:fldCharType="end"/>
      </w:r>
    </w:p>
    <w:p w14:paraId="02C45757">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_Toc27121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18.</w:t>
      </w:r>
      <w:r>
        <w:rPr>
          <w:rFonts w:hint="eastAsia" w:asciiTheme="minorEastAsia" w:hAnsiTheme="minorEastAsia" w:eastAsiaTheme="minorEastAsia"/>
          <w:szCs w:val="24"/>
          <w:highlight w:val="none"/>
        </w:rPr>
        <w:t>开源软件、第三方软件清单及合法获取开源软件、第三方软件使用权的证明</w:t>
      </w:r>
      <w:r>
        <w:tab/>
      </w:r>
      <w:r>
        <w:fldChar w:fldCharType="begin"/>
      </w:r>
      <w:r>
        <w:instrText xml:space="preserve"> PAGEREF _Toc27121 \h </w:instrText>
      </w:r>
      <w:r>
        <w:fldChar w:fldCharType="separate"/>
      </w:r>
      <w:r>
        <w:t>103</w:t>
      </w:r>
      <w:r>
        <w:fldChar w:fldCharType="end"/>
      </w:r>
      <w:r>
        <w:rPr>
          <w:rFonts w:hint="default" w:cs="宋体" w:asciiTheme="minorEastAsia" w:hAnsiTheme="minorEastAsia" w:eastAsiaTheme="minorEastAsia"/>
          <w:lang w:val="en-US"/>
        </w:rPr>
        <w:fldChar w:fldCharType="end"/>
      </w:r>
    </w:p>
    <w:p w14:paraId="212B8F4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_Toc16591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19.</w:t>
      </w:r>
      <w:r>
        <w:rPr>
          <w:rFonts w:hint="eastAsia" w:asciiTheme="minorEastAsia" w:hAnsiTheme="minorEastAsia" w:eastAsiaTheme="minorEastAsia"/>
          <w:szCs w:val="24"/>
          <w:highlight w:val="none"/>
          <w:lang w:eastAsia="zh-CN"/>
        </w:rPr>
        <w:t>响应</w:t>
      </w:r>
      <w:r>
        <w:rPr>
          <w:rFonts w:hint="eastAsia" w:asciiTheme="minorEastAsia" w:hAnsiTheme="minorEastAsia" w:eastAsiaTheme="minorEastAsia"/>
          <w:szCs w:val="24"/>
          <w:highlight w:val="none"/>
        </w:rPr>
        <w:t>保函</w:t>
      </w:r>
      <w:r>
        <w:tab/>
      </w:r>
      <w:r>
        <w:fldChar w:fldCharType="begin"/>
      </w:r>
      <w:r>
        <w:instrText xml:space="preserve"> PAGEREF _Toc16591 \h </w:instrText>
      </w:r>
      <w:r>
        <w:fldChar w:fldCharType="separate"/>
      </w:r>
      <w:r>
        <w:t>104</w:t>
      </w:r>
      <w:r>
        <w:fldChar w:fldCharType="end"/>
      </w:r>
      <w:r>
        <w:rPr>
          <w:rFonts w:hint="default" w:cs="宋体" w:asciiTheme="minorEastAsia" w:hAnsiTheme="minorEastAsia" w:eastAsiaTheme="minorEastAsia"/>
          <w:lang w:val="en-US"/>
        </w:rPr>
        <w:fldChar w:fldCharType="end"/>
      </w:r>
    </w:p>
    <w:p w14:paraId="72B86B9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_Toc11332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20.</w:t>
      </w:r>
      <w:r>
        <w:rPr>
          <w:rFonts w:hint="eastAsia" w:asciiTheme="minorEastAsia" w:hAnsiTheme="minorEastAsia" w:eastAsiaTheme="minorEastAsia"/>
          <w:szCs w:val="24"/>
          <w:highlight w:val="none"/>
        </w:rPr>
        <w:t>业绩情况表</w:t>
      </w:r>
      <w:r>
        <w:tab/>
      </w:r>
      <w:r>
        <w:fldChar w:fldCharType="begin"/>
      </w:r>
      <w:r>
        <w:instrText xml:space="preserve"> PAGEREF _Toc11332 \h </w:instrText>
      </w:r>
      <w:r>
        <w:fldChar w:fldCharType="separate"/>
      </w:r>
      <w:r>
        <w:t>107</w:t>
      </w:r>
      <w:r>
        <w:fldChar w:fldCharType="end"/>
      </w:r>
      <w:r>
        <w:rPr>
          <w:rFonts w:hint="default" w:cs="宋体" w:asciiTheme="minorEastAsia" w:hAnsiTheme="minorEastAsia" w:eastAsiaTheme="minorEastAsia"/>
          <w:lang w:val="en-US"/>
        </w:rPr>
        <w:fldChar w:fldCharType="end"/>
      </w:r>
    </w:p>
    <w:p w14:paraId="339CE587">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_Toc5547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21.</w:t>
      </w:r>
      <w:r>
        <w:rPr>
          <w:rFonts w:hint="eastAsia" w:asciiTheme="minorEastAsia" w:hAnsiTheme="minorEastAsia" w:eastAsiaTheme="minorEastAsia"/>
          <w:szCs w:val="24"/>
          <w:highlight w:val="none"/>
        </w:rPr>
        <w:t>知识产权不侵权承诺函</w:t>
      </w:r>
      <w:r>
        <w:tab/>
      </w:r>
      <w:r>
        <w:fldChar w:fldCharType="begin"/>
      </w:r>
      <w:r>
        <w:instrText xml:space="preserve"> PAGEREF _Toc5547 \h </w:instrText>
      </w:r>
      <w:r>
        <w:fldChar w:fldCharType="separate"/>
      </w:r>
      <w:r>
        <w:t>108</w:t>
      </w:r>
      <w:r>
        <w:fldChar w:fldCharType="end"/>
      </w:r>
      <w:r>
        <w:rPr>
          <w:rFonts w:hint="default" w:cs="宋体" w:asciiTheme="minorEastAsia" w:hAnsiTheme="minorEastAsia" w:eastAsiaTheme="minorEastAsia"/>
          <w:lang w:val="en-US"/>
        </w:rPr>
        <w:fldChar w:fldCharType="end"/>
      </w:r>
    </w:p>
    <w:p w14:paraId="5971C14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_Toc8790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22.销售/转许可同意函</w:t>
      </w:r>
      <w:r>
        <w:tab/>
      </w:r>
      <w:r>
        <w:fldChar w:fldCharType="begin"/>
      </w:r>
      <w:r>
        <w:instrText xml:space="preserve"> PAGEREF _Toc8790 \h </w:instrText>
      </w:r>
      <w:r>
        <w:fldChar w:fldCharType="separate"/>
      </w:r>
      <w:r>
        <w:t>110</w:t>
      </w:r>
      <w:r>
        <w:fldChar w:fldCharType="end"/>
      </w:r>
      <w:r>
        <w:rPr>
          <w:rFonts w:hint="default" w:cs="宋体" w:asciiTheme="minorEastAsia" w:hAnsiTheme="minorEastAsia" w:eastAsiaTheme="minorEastAsia"/>
          <w:lang w:val="en-US"/>
        </w:rPr>
        <w:fldChar w:fldCharType="end"/>
      </w:r>
    </w:p>
    <w:p w14:paraId="23A986E4">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_Toc32037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23.不得存在情形承诺</w:t>
      </w:r>
      <w:r>
        <w:tab/>
      </w:r>
      <w:r>
        <w:fldChar w:fldCharType="begin"/>
      </w:r>
      <w:r>
        <w:instrText xml:space="preserve"> PAGEREF _Toc32037 \h </w:instrText>
      </w:r>
      <w:r>
        <w:fldChar w:fldCharType="separate"/>
      </w:r>
      <w:r>
        <w:t>111</w:t>
      </w:r>
      <w:r>
        <w:fldChar w:fldCharType="end"/>
      </w:r>
      <w:r>
        <w:rPr>
          <w:rFonts w:hint="default" w:cs="宋体" w:asciiTheme="minorEastAsia" w:hAnsiTheme="minorEastAsia" w:eastAsiaTheme="minorEastAsia"/>
          <w:lang w:val="en-US"/>
        </w:rPr>
        <w:fldChar w:fldCharType="end"/>
      </w:r>
    </w:p>
    <w:p w14:paraId="5FA0AD0F">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_Toc6135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24.开具增值税专用发票承诺</w:t>
      </w:r>
      <w:r>
        <w:tab/>
      </w:r>
      <w:r>
        <w:fldChar w:fldCharType="begin"/>
      </w:r>
      <w:r>
        <w:instrText xml:space="preserve"> PAGEREF _Toc6135 \h </w:instrText>
      </w:r>
      <w:r>
        <w:fldChar w:fldCharType="separate"/>
      </w:r>
      <w:r>
        <w:t>113</w:t>
      </w:r>
      <w:r>
        <w:fldChar w:fldCharType="end"/>
      </w:r>
      <w:r>
        <w:rPr>
          <w:rFonts w:hint="default" w:cs="宋体" w:asciiTheme="minorEastAsia" w:hAnsiTheme="minorEastAsia" w:eastAsiaTheme="minorEastAsia"/>
          <w:lang w:val="en-US"/>
        </w:rPr>
        <w:fldChar w:fldCharType="end"/>
      </w:r>
    </w:p>
    <w:p w14:paraId="744955C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_Toc31917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rPr>
        <w:t>第二分册 技术</w:t>
      </w:r>
      <w:r>
        <w:rPr>
          <w:rFonts w:hint="eastAsia" w:asciiTheme="minorEastAsia" w:hAnsiTheme="minorEastAsia" w:eastAsiaTheme="minorEastAsia"/>
          <w:szCs w:val="24"/>
          <w:highlight w:val="none"/>
          <w:lang w:val="en-US" w:eastAsia="zh-CN"/>
        </w:rPr>
        <w:t>响应</w:t>
      </w:r>
      <w:r>
        <w:rPr>
          <w:rFonts w:hint="eastAsia" w:asciiTheme="minorEastAsia" w:hAnsiTheme="minorEastAsia" w:eastAsiaTheme="minorEastAsia"/>
          <w:szCs w:val="24"/>
          <w:highlight w:val="none"/>
        </w:rPr>
        <w:t>文件</w:t>
      </w:r>
      <w:r>
        <w:tab/>
      </w:r>
      <w:r>
        <w:fldChar w:fldCharType="begin"/>
      </w:r>
      <w:r>
        <w:instrText xml:space="preserve"> PAGEREF _Toc31917 \h </w:instrText>
      </w:r>
      <w:r>
        <w:fldChar w:fldCharType="separate"/>
      </w:r>
      <w:r>
        <w:t>114</w:t>
      </w:r>
      <w:r>
        <w:fldChar w:fldCharType="end"/>
      </w:r>
      <w:r>
        <w:rPr>
          <w:rFonts w:hint="default" w:cs="宋体" w:asciiTheme="minorEastAsia" w:hAnsiTheme="minorEastAsia" w:eastAsiaTheme="minorEastAsia"/>
          <w:lang w:val="en-US"/>
        </w:rPr>
        <w:fldChar w:fldCharType="end"/>
      </w:r>
    </w:p>
    <w:p w14:paraId="46CFC5BB">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_Toc18997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25.</w:t>
      </w:r>
      <w:r>
        <w:rPr>
          <w:rFonts w:hint="eastAsia" w:asciiTheme="minorEastAsia" w:hAnsiTheme="minorEastAsia" w:eastAsiaTheme="minorEastAsia"/>
          <w:szCs w:val="24"/>
          <w:highlight w:val="none"/>
        </w:rPr>
        <w:t>技术</w:t>
      </w:r>
      <w:r>
        <w:rPr>
          <w:rFonts w:hint="eastAsia" w:asciiTheme="minorEastAsia" w:hAnsiTheme="minorEastAsia" w:eastAsiaTheme="minorEastAsia"/>
          <w:szCs w:val="24"/>
          <w:highlight w:val="none"/>
          <w:lang w:eastAsia="zh-CN"/>
        </w:rPr>
        <w:t>响应文件</w:t>
      </w:r>
      <w:r>
        <w:rPr>
          <w:rFonts w:hint="eastAsia" w:asciiTheme="minorEastAsia" w:hAnsiTheme="minorEastAsia" w:eastAsiaTheme="minorEastAsia"/>
          <w:szCs w:val="24"/>
          <w:highlight w:val="none"/>
        </w:rPr>
        <w:t>封面</w:t>
      </w:r>
      <w:r>
        <w:tab/>
      </w:r>
      <w:r>
        <w:fldChar w:fldCharType="begin"/>
      </w:r>
      <w:r>
        <w:instrText xml:space="preserve"> PAGEREF _Toc18997 \h </w:instrText>
      </w:r>
      <w:r>
        <w:fldChar w:fldCharType="separate"/>
      </w:r>
      <w:r>
        <w:t>114</w:t>
      </w:r>
      <w:r>
        <w:fldChar w:fldCharType="end"/>
      </w:r>
      <w:r>
        <w:rPr>
          <w:rFonts w:hint="default" w:cs="宋体" w:asciiTheme="minorEastAsia" w:hAnsiTheme="minorEastAsia" w:eastAsiaTheme="minorEastAsia"/>
          <w:lang w:val="en-US"/>
        </w:rPr>
        <w:fldChar w:fldCharType="end"/>
      </w:r>
    </w:p>
    <w:p w14:paraId="22562A34">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_Toc23827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26.</w:t>
      </w:r>
      <w:r>
        <w:rPr>
          <w:rFonts w:hint="eastAsia" w:asciiTheme="minorEastAsia" w:hAnsiTheme="minorEastAsia" w:eastAsiaTheme="minorEastAsia"/>
          <w:szCs w:val="24"/>
          <w:highlight w:val="none"/>
        </w:rPr>
        <w:t>技术服务评审索引表</w:t>
      </w:r>
      <w:r>
        <w:tab/>
      </w:r>
      <w:r>
        <w:fldChar w:fldCharType="begin"/>
      </w:r>
      <w:r>
        <w:instrText xml:space="preserve"> PAGEREF _Toc23827 \h </w:instrText>
      </w:r>
      <w:r>
        <w:fldChar w:fldCharType="separate"/>
      </w:r>
      <w:r>
        <w:t>115</w:t>
      </w:r>
      <w:r>
        <w:fldChar w:fldCharType="end"/>
      </w:r>
      <w:r>
        <w:rPr>
          <w:rFonts w:hint="default" w:cs="宋体" w:asciiTheme="minorEastAsia" w:hAnsiTheme="minorEastAsia" w:eastAsiaTheme="minorEastAsia"/>
          <w:lang w:val="en-US"/>
        </w:rPr>
        <w:fldChar w:fldCharType="end"/>
      </w:r>
    </w:p>
    <w:p w14:paraId="626A26E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_Toc9928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lang w:val="en-US" w:eastAsia="zh-CN"/>
        </w:rPr>
        <w:t>27</w:t>
      </w:r>
      <w:r>
        <w:rPr>
          <w:rFonts w:hint="eastAsia" w:asciiTheme="minorEastAsia" w:hAnsiTheme="minorEastAsia" w:eastAsiaTheme="minorEastAsia"/>
          <w:szCs w:val="24"/>
          <w:highlight w:val="none"/>
        </w:rPr>
        <w:t>.技术规范书点对点响应</w:t>
      </w:r>
      <w:r>
        <w:tab/>
      </w:r>
      <w:r>
        <w:fldChar w:fldCharType="begin"/>
      </w:r>
      <w:r>
        <w:instrText xml:space="preserve"> PAGEREF _Toc9928 \h </w:instrText>
      </w:r>
      <w:r>
        <w:fldChar w:fldCharType="separate"/>
      </w:r>
      <w:r>
        <w:t>116</w:t>
      </w:r>
      <w:r>
        <w:fldChar w:fldCharType="end"/>
      </w:r>
      <w:r>
        <w:rPr>
          <w:rFonts w:hint="default" w:cs="宋体" w:asciiTheme="minorEastAsia" w:hAnsiTheme="minorEastAsia" w:eastAsiaTheme="minorEastAsia"/>
          <w:lang w:val="en-US"/>
        </w:rPr>
        <w:fldChar w:fldCharType="end"/>
      </w:r>
    </w:p>
    <w:p w14:paraId="2A409F7E">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_Toc9387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28.技术规范书偏离表</w:t>
      </w:r>
      <w:r>
        <w:tab/>
      </w:r>
      <w:r>
        <w:fldChar w:fldCharType="begin"/>
      </w:r>
      <w:r>
        <w:instrText xml:space="preserve"> PAGEREF _Toc9387 \h </w:instrText>
      </w:r>
      <w:r>
        <w:fldChar w:fldCharType="separate"/>
      </w:r>
      <w:r>
        <w:t>117</w:t>
      </w:r>
      <w:r>
        <w:fldChar w:fldCharType="end"/>
      </w:r>
      <w:r>
        <w:rPr>
          <w:rFonts w:hint="default" w:cs="宋体" w:asciiTheme="minorEastAsia" w:hAnsiTheme="minorEastAsia" w:eastAsiaTheme="minorEastAsia"/>
          <w:lang w:val="en-US"/>
        </w:rPr>
        <w:fldChar w:fldCharType="end"/>
      </w:r>
    </w:p>
    <w:p w14:paraId="36F959E9">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_Toc13358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29.</w:t>
      </w:r>
      <w:r>
        <w:rPr>
          <w:rFonts w:hint="eastAsia" w:asciiTheme="minorEastAsia" w:hAnsiTheme="minorEastAsia" w:eastAsiaTheme="minorEastAsia"/>
          <w:szCs w:val="24"/>
          <w:highlight w:val="none"/>
        </w:rPr>
        <w:t>项目建议书</w:t>
      </w:r>
      <w:r>
        <w:tab/>
      </w:r>
      <w:r>
        <w:fldChar w:fldCharType="begin"/>
      </w:r>
      <w:r>
        <w:instrText xml:space="preserve"> PAGEREF _Toc13358 \h </w:instrText>
      </w:r>
      <w:r>
        <w:fldChar w:fldCharType="separate"/>
      </w:r>
      <w:r>
        <w:t>118</w:t>
      </w:r>
      <w:r>
        <w:fldChar w:fldCharType="end"/>
      </w:r>
      <w:r>
        <w:rPr>
          <w:rFonts w:hint="default" w:cs="宋体" w:asciiTheme="minorEastAsia" w:hAnsiTheme="minorEastAsia" w:eastAsiaTheme="minorEastAsia"/>
          <w:lang w:val="en-US"/>
        </w:rPr>
        <w:fldChar w:fldCharType="end"/>
      </w:r>
    </w:p>
    <w:p w14:paraId="1D3501D6">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_Toc23438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30.</w:t>
      </w:r>
      <w:r>
        <w:rPr>
          <w:rFonts w:hint="eastAsia" w:asciiTheme="minorEastAsia" w:hAnsiTheme="minorEastAsia" w:eastAsiaTheme="minorEastAsia"/>
          <w:szCs w:val="24"/>
          <w:highlight w:val="none"/>
        </w:rPr>
        <w:t>要求</w:t>
      </w:r>
      <w:r>
        <w:rPr>
          <w:rFonts w:hint="eastAsia" w:asciiTheme="minorEastAsia" w:hAnsiTheme="minorEastAsia" w:eastAsiaTheme="minorEastAsia"/>
          <w:szCs w:val="24"/>
          <w:highlight w:val="none"/>
          <w:lang w:eastAsia="zh-CN"/>
        </w:rPr>
        <w:t>供应商</w:t>
      </w:r>
      <w:r>
        <w:rPr>
          <w:rFonts w:hint="eastAsia" w:asciiTheme="minorEastAsia" w:hAnsiTheme="minorEastAsia" w:eastAsiaTheme="minorEastAsia"/>
          <w:szCs w:val="24"/>
          <w:highlight w:val="none"/>
        </w:rPr>
        <w:t>提供的其他文件</w:t>
      </w:r>
      <w:r>
        <w:tab/>
      </w:r>
      <w:r>
        <w:fldChar w:fldCharType="begin"/>
      </w:r>
      <w:r>
        <w:instrText xml:space="preserve"> PAGEREF _Toc23438 \h </w:instrText>
      </w:r>
      <w:r>
        <w:fldChar w:fldCharType="separate"/>
      </w:r>
      <w:r>
        <w:t>119</w:t>
      </w:r>
      <w:r>
        <w:fldChar w:fldCharType="end"/>
      </w:r>
      <w:r>
        <w:rPr>
          <w:rFonts w:hint="default" w:cs="宋体" w:asciiTheme="minorEastAsia" w:hAnsiTheme="minorEastAsia" w:eastAsiaTheme="minorEastAsia"/>
          <w:lang w:val="en-US"/>
        </w:rPr>
        <w:fldChar w:fldCharType="end"/>
      </w:r>
    </w:p>
    <w:p w14:paraId="3EF0CAD3">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_Toc20326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31.外部组件软件成分信息清单模版</w:t>
      </w:r>
      <w:r>
        <w:tab/>
      </w:r>
      <w:r>
        <w:fldChar w:fldCharType="begin"/>
      </w:r>
      <w:r>
        <w:instrText xml:space="preserve"> PAGEREF _Toc20326 \h </w:instrText>
      </w:r>
      <w:r>
        <w:fldChar w:fldCharType="separate"/>
      </w:r>
      <w:r>
        <w:t>120</w:t>
      </w:r>
      <w:r>
        <w:fldChar w:fldCharType="end"/>
      </w:r>
      <w:r>
        <w:rPr>
          <w:rFonts w:hint="default" w:cs="宋体" w:asciiTheme="minorEastAsia" w:hAnsiTheme="minorEastAsia" w:eastAsiaTheme="minorEastAsia"/>
          <w:lang w:val="en-US"/>
        </w:rPr>
        <w:fldChar w:fldCharType="end"/>
      </w:r>
    </w:p>
    <w:p w14:paraId="71F1CB50">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_Toc26186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4"/>
          <w:highlight w:val="none"/>
        </w:rPr>
        <w:t>第三分册 报价文件</w:t>
      </w:r>
      <w:r>
        <w:tab/>
      </w:r>
      <w:r>
        <w:fldChar w:fldCharType="begin"/>
      </w:r>
      <w:r>
        <w:instrText xml:space="preserve"> PAGEREF _Toc26186 \h </w:instrText>
      </w:r>
      <w:r>
        <w:fldChar w:fldCharType="separate"/>
      </w:r>
      <w:r>
        <w:t>124</w:t>
      </w:r>
      <w:r>
        <w:fldChar w:fldCharType="end"/>
      </w:r>
      <w:r>
        <w:rPr>
          <w:rFonts w:hint="default" w:cs="宋体" w:asciiTheme="minorEastAsia" w:hAnsiTheme="minorEastAsia" w:eastAsiaTheme="minorEastAsia"/>
          <w:lang w:val="en-US"/>
        </w:rPr>
        <w:fldChar w:fldCharType="end"/>
      </w:r>
    </w:p>
    <w:p w14:paraId="1AEC8B62">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_Toc7029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32.</w:t>
      </w:r>
      <w:r>
        <w:rPr>
          <w:rFonts w:hint="eastAsia" w:asciiTheme="minorEastAsia" w:hAnsiTheme="minorEastAsia" w:eastAsiaTheme="minorEastAsia"/>
          <w:szCs w:val="24"/>
          <w:highlight w:val="none"/>
        </w:rPr>
        <w:t>报价文件封面</w:t>
      </w:r>
      <w:r>
        <w:tab/>
      </w:r>
      <w:r>
        <w:fldChar w:fldCharType="begin"/>
      </w:r>
      <w:r>
        <w:instrText xml:space="preserve"> PAGEREF _Toc7029 \h </w:instrText>
      </w:r>
      <w:r>
        <w:fldChar w:fldCharType="separate"/>
      </w:r>
      <w:r>
        <w:t>124</w:t>
      </w:r>
      <w:r>
        <w:fldChar w:fldCharType="end"/>
      </w:r>
      <w:r>
        <w:rPr>
          <w:rFonts w:hint="default" w:cs="宋体" w:asciiTheme="minorEastAsia" w:hAnsiTheme="minorEastAsia" w:eastAsiaTheme="minorEastAsia"/>
          <w:lang w:val="en-US"/>
        </w:rPr>
        <w:fldChar w:fldCharType="end"/>
      </w:r>
    </w:p>
    <w:p w14:paraId="7C11D449">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_Toc26008 </w:instrText>
      </w:r>
      <w:r>
        <w:rPr>
          <w:rFonts w:hint="default" w:cs="宋体" w:asciiTheme="minorEastAsia" w:hAnsiTheme="minorEastAsia" w:eastAsiaTheme="minorEastAsia"/>
          <w:lang w:val="en-US"/>
        </w:rPr>
        <w:fldChar w:fldCharType="separate"/>
      </w:r>
      <w:r>
        <w:rPr>
          <w:rFonts w:hint="eastAsia" w:cs="Times New Roman" w:asciiTheme="minorEastAsia" w:hAnsiTheme="minorEastAsia" w:eastAsiaTheme="minorEastAsia"/>
          <w:bCs/>
          <w:kern w:val="2"/>
          <w:szCs w:val="24"/>
          <w:lang w:val="en-US" w:eastAsia="zh-CN" w:bidi="ar-SA"/>
        </w:rPr>
        <w:t>33.响应一览表</w:t>
      </w:r>
      <w:r>
        <w:tab/>
      </w:r>
      <w:r>
        <w:fldChar w:fldCharType="begin"/>
      </w:r>
      <w:r>
        <w:instrText xml:space="preserve"> PAGEREF _Toc26008 \h </w:instrText>
      </w:r>
      <w:r>
        <w:fldChar w:fldCharType="separate"/>
      </w:r>
      <w:r>
        <w:t>125</w:t>
      </w:r>
      <w:r>
        <w:fldChar w:fldCharType="end"/>
      </w:r>
      <w:r>
        <w:rPr>
          <w:rFonts w:hint="default" w:cs="宋体" w:asciiTheme="minorEastAsia" w:hAnsiTheme="minorEastAsia" w:eastAsiaTheme="minorEastAsia"/>
          <w:lang w:val="en-US"/>
        </w:rPr>
        <w:fldChar w:fldCharType="end"/>
      </w:r>
    </w:p>
    <w:p w14:paraId="798ECC6A">
      <w:pPr>
        <w:pStyle w:val="28"/>
        <w:tabs>
          <w:tab w:val="right" w:leader="dot" w:pos="8504"/>
          <w:tab w:val="clear" w:pos="426"/>
          <w:tab w:val="clear" w:pos="709"/>
          <w:tab w:val="clear" w:pos="8505"/>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_Toc25780 </w:instrText>
      </w:r>
      <w:r>
        <w:rPr>
          <w:rFonts w:hint="default" w:cs="宋体" w:asciiTheme="minorEastAsia" w:hAnsiTheme="minorEastAsia" w:eastAsiaTheme="minorEastAsia"/>
          <w:lang w:val="en-US"/>
        </w:rPr>
        <w:fldChar w:fldCharType="separate"/>
      </w:r>
      <w:r>
        <w:rPr>
          <w:rFonts w:hint="eastAsia" w:cs="宋体" w:asciiTheme="minorEastAsia" w:hAnsiTheme="minorEastAsia" w:eastAsiaTheme="minorEastAsia"/>
          <w:bCs w:val="0"/>
          <w:kern w:val="0"/>
          <w:szCs w:val="28"/>
          <w:highlight w:val="none"/>
        </w:rPr>
        <w:t>第七章  其他</w:t>
      </w:r>
      <w:r>
        <w:tab/>
      </w:r>
      <w:r>
        <w:fldChar w:fldCharType="begin"/>
      </w:r>
      <w:r>
        <w:instrText xml:space="preserve"> PAGEREF _Toc25780 \h </w:instrText>
      </w:r>
      <w:r>
        <w:fldChar w:fldCharType="separate"/>
      </w:r>
      <w:r>
        <w:t>126</w:t>
      </w:r>
      <w:r>
        <w:fldChar w:fldCharType="end"/>
      </w:r>
      <w:r>
        <w:rPr>
          <w:rFonts w:hint="default" w:cs="宋体" w:asciiTheme="minorEastAsia" w:hAnsiTheme="minorEastAsia" w:eastAsiaTheme="minorEastAsia"/>
          <w:lang w:val="en-US"/>
        </w:rPr>
        <w:fldChar w:fldCharType="end"/>
      </w:r>
    </w:p>
    <w:p w14:paraId="288A6AEE">
      <w:pPr>
        <w:pStyle w:val="33"/>
        <w:tabs>
          <w:tab w:val="right" w:leader="dot" w:pos="8504"/>
          <w:tab w:val="clear" w:pos="567"/>
          <w:tab w:val="clear" w:pos="8505"/>
          <w:tab w:val="clear" w:pos="9628"/>
        </w:tabs>
      </w:pPr>
      <w:r>
        <w:rPr>
          <w:rFonts w:hint="default" w:cs="宋体" w:asciiTheme="minorEastAsia" w:hAnsiTheme="minorEastAsia" w:eastAsiaTheme="minorEastAsia"/>
          <w:lang w:val="en-US"/>
        </w:rPr>
        <w:fldChar w:fldCharType="begin"/>
      </w:r>
      <w:r>
        <w:rPr>
          <w:rFonts w:hint="default" w:cs="宋体" w:asciiTheme="minorEastAsia" w:hAnsiTheme="minorEastAsia" w:eastAsiaTheme="minorEastAsia"/>
          <w:lang w:val="en-US"/>
        </w:rPr>
        <w:instrText xml:space="preserve"> HYPERLINK \l _Toc5277 </w:instrText>
      </w:r>
      <w:r>
        <w:rPr>
          <w:rFonts w:hint="default" w:cs="宋体" w:asciiTheme="minorEastAsia" w:hAnsiTheme="minorEastAsia" w:eastAsiaTheme="minorEastAsia"/>
          <w:lang w:val="en-US"/>
        </w:rPr>
        <w:fldChar w:fldCharType="separate"/>
      </w:r>
      <w:r>
        <w:rPr>
          <w:rFonts w:hint="eastAsia" w:asciiTheme="minorEastAsia" w:hAnsiTheme="minorEastAsia" w:eastAsiaTheme="minorEastAsia"/>
          <w:szCs w:val="28"/>
          <w:highlight w:val="none"/>
        </w:rPr>
        <w:t>中国电信供应商不良行为管理规则</w:t>
      </w:r>
      <w:r>
        <w:tab/>
      </w:r>
      <w:r>
        <w:fldChar w:fldCharType="begin"/>
      </w:r>
      <w:r>
        <w:instrText xml:space="preserve"> PAGEREF _Toc5277 \h </w:instrText>
      </w:r>
      <w:r>
        <w:fldChar w:fldCharType="separate"/>
      </w:r>
      <w:r>
        <w:t>126</w:t>
      </w:r>
      <w:r>
        <w:fldChar w:fldCharType="end"/>
      </w:r>
      <w:r>
        <w:rPr>
          <w:rFonts w:hint="default" w:cs="宋体" w:asciiTheme="minorEastAsia" w:hAnsiTheme="minorEastAsia" w:eastAsiaTheme="minorEastAsia"/>
          <w:lang w:val="en-US"/>
        </w:rPr>
        <w:fldChar w:fldCharType="end"/>
      </w:r>
    </w:p>
    <w:p w14:paraId="6F3FBCEE">
      <w:pPr>
        <w:snapToGrid w:val="0"/>
        <w:spacing w:line="400" w:lineRule="exact"/>
        <w:rPr>
          <w:rFonts w:hint="default" w:cs="宋体" w:asciiTheme="minorEastAsia" w:hAnsiTheme="minorEastAsia" w:eastAsiaTheme="minorEastAsia"/>
          <w:lang w:val="en-US"/>
        </w:rPr>
      </w:pPr>
      <w:r>
        <w:rPr>
          <w:rFonts w:hint="default" w:cs="宋体" w:asciiTheme="minorEastAsia" w:hAnsiTheme="minorEastAsia" w:eastAsiaTheme="minorEastAsia"/>
          <w:lang w:val="en-US"/>
        </w:rPr>
        <w:fldChar w:fldCharType="end"/>
      </w:r>
    </w:p>
    <w:p w14:paraId="377635CE">
      <w:pPr>
        <w:bidi w:val="0"/>
        <w:rPr>
          <w:rFonts w:hint="default" w:ascii="Times New Roman" w:hAnsi="Times New Roman" w:eastAsia="宋体" w:cs="Times New Roman"/>
          <w:kern w:val="2"/>
          <w:sz w:val="21"/>
          <w:szCs w:val="24"/>
          <w:lang w:val="en-US" w:eastAsia="zh-CN" w:bidi="ar-SA"/>
        </w:rPr>
      </w:pPr>
    </w:p>
    <w:p w14:paraId="30D16AE0">
      <w:pPr>
        <w:bidi w:val="0"/>
        <w:rPr>
          <w:rFonts w:hint="default"/>
          <w:lang w:val="en-US" w:eastAsia="zh-CN"/>
        </w:rPr>
      </w:pPr>
    </w:p>
    <w:p w14:paraId="7E4F8F2E">
      <w:pPr>
        <w:tabs>
          <w:tab w:val="center" w:pos="4252"/>
        </w:tabs>
        <w:bidi w:val="0"/>
        <w:jc w:val="left"/>
        <w:rPr>
          <w:rFonts w:hint="default"/>
          <w:lang w:val="en-US" w:eastAsia="zh-CN"/>
        </w:rPr>
        <w:sectPr>
          <w:footerReference r:id="rId5" w:type="default"/>
          <w:pgSz w:w="11906" w:h="16838"/>
          <w:pgMar w:top="1440" w:right="1701" w:bottom="1440" w:left="1701" w:header="851" w:footer="992" w:gutter="0"/>
          <w:pgNumType w:fmt="decimal" w:start="1"/>
          <w:cols w:space="720" w:num="1"/>
          <w:docGrid w:type="linesAndChars" w:linePitch="380" w:charSpace="0"/>
        </w:sectPr>
      </w:pPr>
      <w:r>
        <w:rPr>
          <w:rFonts w:hint="eastAsia"/>
          <w:lang w:val="en-US" w:eastAsia="zh-CN"/>
        </w:rPr>
        <w:tab/>
      </w:r>
    </w:p>
    <w:p w14:paraId="71F7B0A1">
      <w:pPr>
        <w:pStyle w:val="47"/>
        <w:numPr>
          <w:ilvl w:val="0"/>
          <w:numId w:val="0"/>
        </w:numPr>
        <w:spacing w:before="240" w:after="120"/>
        <w:rPr>
          <w:rFonts w:hint="eastAsia" w:cs="宋体" w:asciiTheme="minorEastAsia" w:hAnsiTheme="minorEastAsia" w:eastAsiaTheme="minorEastAsia"/>
          <w:b/>
          <w:bCs w:val="0"/>
          <w:kern w:val="0"/>
          <w:sz w:val="28"/>
          <w:szCs w:val="28"/>
        </w:rPr>
      </w:pPr>
      <w:bookmarkStart w:id="0" w:name="_Toc447265797"/>
      <w:bookmarkStart w:id="1" w:name="_Toc447188662"/>
      <w:bookmarkStart w:id="2" w:name="_Toc447265211"/>
      <w:bookmarkStart w:id="3" w:name="_Toc447265497"/>
      <w:bookmarkStart w:id="4" w:name="_Toc4207"/>
      <w:bookmarkStart w:id="5" w:name="_Toc27634"/>
      <w:bookmarkStart w:id="6" w:name="_Toc13613"/>
      <w:bookmarkStart w:id="7" w:name="_Toc24836"/>
      <w:bookmarkStart w:id="8" w:name="_Toc624"/>
      <w:bookmarkStart w:id="9" w:name="_Toc31659"/>
      <w:bookmarkStart w:id="10" w:name="_Toc18172"/>
      <w:bookmarkStart w:id="11" w:name="_Toc20698"/>
      <w:bookmarkStart w:id="12" w:name="_Toc27445"/>
      <w:bookmarkStart w:id="13" w:name="_Toc27116"/>
      <w:bookmarkStart w:id="14" w:name="_Toc13041"/>
      <w:bookmarkStart w:id="15" w:name="_Toc13114"/>
      <w:r>
        <w:rPr>
          <w:rFonts w:hint="eastAsia" w:cs="宋体" w:asciiTheme="minorEastAsia" w:hAnsiTheme="minorEastAsia" w:eastAsiaTheme="minorEastAsia"/>
          <w:b/>
          <w:bCs w:val="0"/>
          <w:kern w:val="0"/>
          <w:sz w:val="28"/>
          <w:szCs w:val="28"/>
          <w:lang w:val="en-US" w:eastAsia="zh-CN" w:bidi="ar-SA"/>
        </w:rPr>
        <w:t>第一章</w:t>
      </w:r>
      <w:r>
        <w:rPr>
          <w:rFonts w:hint="eastAsia" w:cs="宋体" w:asciiTheme="minorEastAsia" w:hAnsiTheme="minorEastAsia" w:eastAsiaTheme="minorEastAsia"/>
          <w:b/>
          <w:bCs w:val="0"/>
          <w:kern w:val="0"/>
          <w:sz w:val="28"/>
          <w:szCs w:val="28"/>
        </w:rPr>
        <w:t xml:space="preserve"> </w:t>
      </w:r>
      <w:bookmarkEnd w:id="0"/>
      <w:bookmarkEnd w:id="1"/>
      <w:bookmarkEnd w:id="2"/>
      <w:bookmarkEnd w:id="3"/>
      <w:r>
        <w:rPr>
          <w:rFonts w:hint="eastAsia" w:cs="宋体" w:asciiTheme="minorEastAsia" w:hAnsiTheme="minorEastAsia" w:eastAsiaTheme="minorEastAsia"/>
          <w:b/>
          <w:bCs w:val="0"/>
          <w:kern w:val="0"/>
          <w:sz w:val="28"/>
          <w:szCs w:val="28"/>
        </w:rPr>
        <w:t xml:space="preserve"> </w:t>
      </w:r>
      <w:bookmarkStart w:id="16" w:name="_Toc13118"/>
      <w:bookmarkStart w:id="17" w:name="_Toc25647"/>
      <w:r>
        <w:rPr>
          <w:rFonts w:hint="eastAsia" w:cs="宋体" w:asciiTheme="minorEastAsia" w:hAnsiTheme="minorEastAsia" w:eastAsiaTheme="minorEastAsia"/>
          <w:b/>
          <w:bCs w:val="0"/>
          <w:kern w:val="0"/>
          <w:sz w:val="28"/>
          <w:szCs w:val="28"/>
        </w:rPr>
        <w:t>询比公告</w:t>
      </w:r>
      <w:bookmarkEnd w:id="4"/>
      <w:bookmarkEnd w:id="5"/>
      <w:bookmarkEnd w:id="6"/>
      <w:bookmarkEnd w:id="7"/>
      <w:bookmarkEnd w:id="8"/>
      <w:bookmarkEnd w:id="9"/>
      <w:bookmarkEnd w:id="10"/>
      <w:bookmarkEnd w:id="11"/>
      <w:bookmarkEnd w:id="12"/>
      <w:bookmarkEnd w:id="13"/>
      <w:bookmarkEnd w:id="14"/>
      <w:bookmarkEnd w:id="15"/>
      <w:bookmarkEnd w:id="16"/>
      <w:bookmarkEnd w:id="17"/>
    </w:p>
    <w:p w14:paraId="2AB0B180">
      <w:pPr>
        <w:snapToGrid w:val="0"/>
        <w:spacing w:line="360" w:lineRule="exact"/>
        <w:rPr>
          <w:rFonts w:hint="eastAsia" w:asciiTheme="minorEastAsia" w:hAnsiTheme="minorEastAsia" w:eastAsiaTheme="minorEastAsia"/>
        </w:rPr>
      </w:pPr>
    </w:p>
    <w:p w14:paraId="57964621">
      <w:pPr>
        <w:adjustRightInd w:val="0"/>
        <w:snapToGrid w:val="0"/>
        <w:spacing w:line="44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本询比项目为</w:t>
      </w:r>
      <w:r>
        <w:rPr>
          <w:rFonts w:hint="eastAsia" w:asciiTheme="minorEastAsia" w:hAnsiTheme="minorEastAsia" w:eastAsiaTheme="minorEastAsia"/>
          <w:szCs w:val="21"/>
          <w:u w:val="single"/>
        </w:rPr>
        <w:t>2025年中国电信遵义分公司湄潭县中西医结合医院床旁结算系统开发服务采购</w:t>
      </w:r>
      <w:r>
        <w:rPr>
          <w:rFonts w:hint="eastAsia" w:asciiTheme="minorEastAsia" w:hAnsiTheme="minorEastAsia" w:eastAsiaTheme="minorEastAsia"/>
          <w:szCs w:val="21"/>
        </w:rPr>
        <w:t>（项目编号：</w:t>
      </w:r>
      <w:r>
        <w:rPr>
          <w:rFonts w:hint="eastAsia" w:asciiTheme="minorEastAsia" w:hAnsiTheme="minorEastAsia" w:eastAsiaTheme="minorEastAsia"/>
          <w:szCs w:val="21"/>
          <w:u w:val="single"/>
          <w:lang w:eastAsia="zh-CN"/>
        </w:rPr>
        <w:t>GZBBFA202509090008</w:t>
      </w:r>
      <w:r>
        <w:rPr>
          <w:rFonts w:hint="eastAsia" w:asciiTheme="minorEastAsia" w:hAnsiTheme="minorEastAsia" w:eastAsiaTheme="minorEastAsia"/>
          <w:szCs w:val="21"/>
        </w:rPr>
        <w:t>），采购人为</w:t>
      </w:r>
      <w:r>
        <w:rPr>
          <w:rFonts w:hint="eastAsia" w:asciiTheme="minorEastAsia" w:hAnsiTheme="minorEastAsia" w:eastAsiaTheme="minorEastAsia"/>
          <w:u w:val="single"/>
        </w:rPr>
        <w:t>中国电信股份有限公司</w:t>
      </w:r>
      <w:r>
        <w:rPr>
          <w:rFonts w:hint="eastAsia" w:asciiTheme="minorEastAsia" w:hAnsiTheme="minorEastAsia" w:eastAsiaTheme="minorEastAsia"/>
          <w:u w:val="single"/>
          <w:lang w:val="en-US" w:eastAsia="zh-CN"/>
        </w:rPr>
        <w:t>遵义</w:t>
      </w:r>
      <w:r>
        <w:rPr>
          <w:rFonts w:hint="eastAsia" w:asciiTheme="minorEastAsia" w:hAnsiTheme="minorEastAsia" w:eastAsiaTheme="minorEastAsia"/>
          <w:u w:val="single"/>
        </w:rPr>
        <w:t>分公司</w:t>
      </w:r>
      <w:r>
        <w:rPr>
          <w:rFonts w:hint="eastAsia" w:asciiTheme="minorEastAsia" w:hAnsiTheme="minorEastAsia" w:eastAsiaTheme="minorEastAsia"/>
          <w:szCs w:val="21"/>
        </w:rPr>
        <w:t>，采购代理机构为</w:t>
      </w:r>
      <w:r>
        <w:rPr>
          <w:rFonts w:hint="eastAsia" w:asciiTheme="minorEastAsia" w:hAnsiTheme="minorEastAsia" w:eastAsiaTheme="minorEastAsia"/>
          <w:u w:val="single"/>
        </w:rPr>
        <w:t>中通服供应链股份有限公司贵州分公司</w:t>
      </w:r>
      <w:r>
        <w:rPr>
          <w:rFonts w:hint="eastAsia" w:asciiTheme="minorEastAsia" w:hAnsiTheme="minorEastAsia" w:eastAsiaTheme="minorEastAsia"/>
          <w:szCs w:val="21"/>
        </w:rPr>
        <w:t>。项目资金已落实，具备采购条件，现进行公开询比，特邀请有意向的且具有提供标的物能力的潜在供应商（以下简称供应商）参加询比响应。</w:t>
      </w:r>
    </w:p>
    <w:p w14:paraId="3B0D3688">
      <w:pPr>
        <w:pStyle w:val="48"/>
        <w:numPr>
          <w:ilvl w:val="0"/>
          <w:numId w:val="4"/>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项目概况与采购内容</w:t>
      </w:r>
    </w:p>
    <w:p w14:paraId="04F1D162">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1.1</w:t>
      </w:r>
      <w:r>
        <w:rPr>
          <w:rFonts w:hint="eastAsia" w:asciiTheme="minorEastAsia" w:hAnsiTheme="minorEastAsia" w:eastAsiaTheme="minorEastAsia"/>
          <w:szCs w:val="21"/>
        </w:rPr>
        <w:t>项目概况</w:t>
      </w:r>
      <w:r>
        <w:rPr>
          <w:rFonts w:asciiTheme="minorEastAsia" w:hAnsiTheme="minorEastAsia" w:eastAsiaTheme="minorEastAsia"/>
          <w:szCs w:val="21"/>
        </w:rPr>
        <w:t>：</w:t>
      </w:r>
      <w:r>
        <w:rPr>
          <w:rFonts w:hint="eastAsia" w:asciiTheme="minorEastAsia" w:hAnsiTheme="minorEastAsia" w:eastAsiaTheme="minorEastAsia"/>
          <w:szCs w:val="21"/>
        </w:rPr>
        <w:t>2025年中国电信遵义分公司湄潭县中西医结合医院床旁结算系统开发服务采购</w:t>
      </w:r>
      <w:r>
        <w:rPr>
          <w:rFonts w:hint="eastAsia" w:asciiTheme="minorEastAsia" w:hAnsiTheme="minorEastAsia" w:eastAsiaTheme="minorEastAsia"/>
          <w:szCs w:val="21"/>
          <w:lang w:eastAsia="zh-CN"/>
        </w:rPr>
        <w:t>。</w:t>
      </w:r>
    </w:p>
    <w:p w14:paraId="2D7BC25D">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ascii="宋体" w:hAnsi="宋体" w:eastAsia="宋体" w:cs="Times New Roman"/>
          <w:kern w:val="2"/>
          <w:sz w:val="21"/>
          <w:szCs w:val="21"/>
          <w:lang w:val="en-US" w:eastAsia="zh-CN" w:bidi="ar-SA"/>
        </w:rPr>
        <w:t>1.2</w:t>
      </w:r>
      <w:r>
        <w:rPr>
          <w:rFonts w:hint="eastAsia" w:asciiTheme="minorEastAsia" w:hAnsiTheme="minorEastAsia" w:eastAsiaTheme="minorEastAsia"/>
          <w:szCs w:val="21"/>
        </w:rPr>
        <w:t>采购内容及标包划分情况</w:t>
      </w:r>
      <w:r>
        <w:rPr>
          <w:rFonts w:hint="eastAsia" w:asciiTheme="minorEastAsia" w:hAnsiTheme="minorEastAsia" w:eastAsiaTheme="minorEastAsia"/>
          <w:b w:val="0"/>
          <w:bCs w:val="0"/>
          <w:color w:val="auto"/>
          <w:szCs w:val="21"/>
          <w:lang w:val="en-US" w:eastAsia="zh-CN"/>
        </w:rPr>
        <w:t>:为加强湄潭县中西医结合医院床旁结算系统提升院内智慧服务需求。向湄潭县中西医结合医院提供床旁结算系统开发服务，推动湄潭县中西医结合医院医疗服务水平迈向新台阶。</w:t>
      </w:r>
      <w:r>
        <w:rPr>
          <w:rFonts w:hint="eastAsia" w:asciiTheme="minorEastAsia" w:hAnsiTheme="minorEastAsia" w:eastAsiaTheme="minorEastAsia"/>
          <w:b w:val="0"/>
          <w:bCs w:val="0"/>
          <w:szCs w:val="21"/>
          <w:lang w:eastAsia="zh-CN"/>
        </w:rPr>
        <w:t>本</w:t>
      </w:r>
      <w:r>
        <w:rPr>
          <w:rFonts w:hint="eastAsia" w:asciiTheme="minorEastAsia" w:hAnsiTheme="minorEastAsia" w:eastAsiaTheme="minorEastAsia"/>
          <w:szCs w:val="21"/>
          <w:lang w:eastAsia="zh-CN"/>
        </w:rPr>
        <w:t>次采用</w:t>
      </w:r>
      <w:r>
        <w:rPr>
          <w:rFonts w:hint="eastAsia" w:asciiTheme="minorEastAsia" w:hAnsiTheme="minorEastAsia" w:eastAsiaTheme="minorEastAsia"/>
          <w:szCs w:val="21"/>
          <w:lang w:val="en-US" w:eastAsia="zh-CN"/>
        </w:rPr>
        <w:t>单项</w:t>
      </w:r>
      <w:r>
        <w:rPr>
          <w:rFonts w:hint="eastAsia" w:asciiTheme="minorEastAsia" w:hAnsiTheme="minorEastAsia" w:eastAsiaTheme="minorEastAsia"/>
          <w:szCs w:val="21"/>
          <w:lang w:eastAsia="zh-CN"/>
        </w:rPr>
        <w:t>合同形式，预估金额</w:t>
      </w:r>
      <w:r>
        <w:rPr>
          <w:rFonts w:hint="eastAsia" w:asciiTheme="minorEastAsia" w:hAnsiTheme="minorEastAsia" w:eastAsiaTheme="minorEastAsia"/>
          <w:szCs w:val="21"/>
          <w:lang w:val="en-US" w:eastAsia="zh-CN"/>
        </w:rPr>
        <w:t>300000</w:t>
      </w:r>
      <w:r>
        <w:rPr>
          <w:rFonts w:hint="eastAsia" w:asciiTheme="minorEastAsia" w:hAnsiTheme="minorEastAsia" w:eastAsiaTheme="minorEastAsia"/>
          <w:szCs w:val="21"/>
          <w:lang w:eastAsia="zh-CN"/>
        </w:rPr>
        <w:t>元（含税）</w:t>
      </w:r>
      <w:r>
        <w:rPr>
          <w:rFonts w:hint="eastAsia" w:ascii="宋体" w:hAnsi="宋体" w:cs="宋体"/>
          <w:szCs w:val="21"/>
          <w:lang w:eastAsia="zh-CN"/>
        </w:rPr>
        <w:t>。</w:t>
      </w:r>
    </w:p>
    <w:p w14:paraId="5B3B33D1">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1.3</w:t>
      </w:r>
      <w:r>
        <w:rPr>
          <w:rFonts w:hint="eastAsia" w:asciiTheme="minorEastAsia" w:hAnsiTheme="minorEastAsia" w:eastAsiaTheme="minorEastAsia"/>
          <w:szCs w:val="21"/>
        </w:rPr>
        <w:t>本项目不划分标包及份额。</w:t>
      </w:r>
    </w:p>
    <w:p w14:paraId="0CEEC257">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1.4</w:t>
      </w:r>
      <w:r>
        <w:rPr>
          <w:rFonts w:hint="eastAsia" w:asciiTheme="minorEastAsia" w:hAnsiTheme="minorEastAsia" w:eastAsiaTheme="minorEastAsia"/>
          <w:szCs w:val="21"/>
        </w:rPr>
        <w:t>服务</w:t>
      </w:r>
      <w:r>
        <w:rPr>
          <w:rFonts w:hint="eastAsia" w:asciiTheme="minorEastAsia" w:hAnsiTheme="minorEastAsia" w:eastAsiaTheme="minorEastAsia"/>
          <w:szCs w:val="21"/>
          <w:lang w:val="en-US" w:eastAsia="zh-CN"/>
        </w:rPr>
        <w:t>期限</w:t>
      </w:r>
      <w:r>
        <w:rPr>
          <w:rFonts w:hint="eastAsia" w:asciiTheme="minorEastAsia" w:hAnsiTheme="minorEastAsia" w:eastAsiaTheme="minorEastAsia"/>
          <w:szCs w:val="21"/>
        </w:rPr>
        <w:t>：合同签订后</w:t>
      </w:r>
      <w:r>
        <w:rPr>
          <w:rFonts w:hint="eastAsia" w:asciiTheme="minorEastAsia" w:hAnsiTheme="minorEastAsia" w:eastAsiaTheme="minorEastAsia"/>
          <w:szCs w:val="21"/>
          <w:lang w:val="en-US" w:eastAsia="zh-CN"/>
        </w:rPr>
        <w:t>36</w:t>
      </w:r>
      <w:r>
        <w:rPr>
          <w:rFonts w:hint="eastAsia" w:asciiTheme="minorEastAsia" w:hAnsiTheme="minorEastAsia" w:eastAsiaTheme="minorEastAsia"/>
          <w:szCs w:val="21"/>
        </w:rPr>
        <w:t>个月</w:t>
      </w:r>
    </w:p>
    <w:p w14:paraId="6F96AE62">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1.5</w:t>
      </w:r>
      <w:r>
        <w:rPr>
          <w:rFonts w:hint="eastAsia" w:asciiTheme="minorEastAsia" w:hAnsiTheme="minorEastAsia" w:eastAsiaTheme="minorEastAsia"/>
          <w:szCs w:val="21"/>
        </w:rPr>
        <w:t>服务地点：贵州省遵义市湄潭县。</w:t>
      </w:r>
    </w:p>
    <w:p w14:paraId="198715F9">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1.6项目工期：合同签订起90天（日历天）内完成项目交付。</w:t>
      </w:r>
    </w:p>
    <w:p w14:paraId="31A79C79">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1.7保修期：乙方提供36个月维保服务。</w:t>
      </w:r>
    </w:p>
    <w:p w14:paraId="02ACE728">
      <w:pPr>
        <w:adjustRightInd w:val="0"/>
        <w:snapToGrid w:val="0"/>
        <w:spacing w:line="44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本项目将按照最新的《中国电信供应商不良行为管理规则》执行供应商不良行为处理结果，请重点关注处理结果适用的供应商主体、被处理产品、处理范围、禁限期、处理措施等关键内容，请务必登录</w:t>
      </w:r>
      <w:r>
        <w:t>中国电信</w:t>
      </w:r>
      <w:r>
        <w:rPr>
          <w:rFonts w:hint="eastAsia"/>
        </w:rPr>
        <w:t>阳光采购网</w:t>
      </w:r>
      <w:r>
        <w:rPr>
          <w:rFonts w:hint="eastAsia" w:asciiTheme="minorEastAsia" w:hAnsiTheme="minorEastAsia" w:eastAsiaTheme="minorEastAsia" w:cstheme="minorEastAsia"/>
        </w:rPr>
        <w:t>（https://caigou.chinatelecom.com.cn）</w:t>
      </w:r>
      <w:r>
        <w:rPr>
          <w:rFonts w:hint="eastAsia" w:asciiTheme="minorEastAsia" w:hAnsiTheme="minorEastAsia" w:eastAsiaTheme="minorEastAsia"/>
          <w:szCs w:val="21"/>
        </w:rPr>
        <w:t xml:space="preserve">查阅《中国电信供应商不良行为管理规则》。 </w:t>
      </w:r>
    </w:p>
    <w:p w14:paraId="3E2C9F41">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bookmarkStart w:id="18" w:name="_Toc319769473"/>
      <w:bookmarkStart w:id="19" w:name="_Toc184704555"/>
      <w:bookmarkStart w:id="20" w:name="_Toc319394714"/>
      <w:r>
        <w:rPr>
          <w:rFonts w:hint="eastAsia" w:cs="Times New Roman" w:asciiTheme="minorEastAsia" w:hAnsiTheme="minorEastAsia" w:eastAsiaTheme="minorEastAsia"/>
          <w:kern w:val="2"/>
          <w:sz w:val="21"/>
          <w:szCs w:val="21"/>
          <w:lang w:val="en-US" w:eastAsia="zh-CN" w:bidi="ar-SA"/>
        </w:rPr>
        <w:t>1.8</w:t>
      </w:r>
      <w:r>
        <w:rPr>
          <w:rFonts w:hint="eastAsia" w:asciiTheme="minorEastAsia" w:hAnsiTheme="minorEastAsia" w:eastAsiaTheme="minorEastAsia"/>
          <w:szCs w:val="21"/>
        </w:rPr>
        <w:t>本项目</w:t>
      </w:r>
      <w:r>
        <w:rPr>
          <w:rFonts w:asciiTheme="minorEastAsia" w:hAnsiTheme="minorEastAsia" w:eastAsiaTheme="minorEastAsia"/>
          <w:szCs w:val="21"/>
        </w:rPr>
        <w:t>设置</w:t>
      </w:r>
      <w:r>
        <w:rPr>
          <w:rFonts w:hint="eastAsia" w:asciiTheme="minorEastAsia" w:hAnsiTheme="minorEastAsia" w:eastAsiaTheme="minorEastAsia"/>
          <w:szCs w:val="21"/>
          <w:lang w:val="en-US" w:eastAsia="zh-CN"/>
        </w:rPr>
        <w:t>不含税总价</w:t>
      </w:r>
      <w:r>
        <w:rPr>
          <w:rFonts w:asciiTheme="minorEastAsia" w:hAnsiTheme="minorEastAsia" w:eastAsiaTheme="minorEastAsia"/>
          <w:szCs w:val="21"/>
        </w:rPr>
        <w:t>最高</w:t>
      </w:r>
      <w:r>
        <w:rPr>
          <w:rFonts w:hint="eastAsia" w:asciiTheme="minorEastAsia" w:hAnsiTheme="minorEastAsia" w:eastAsiaTheme="minorEastAsia"/>
          <w:szCs w:val="21"/>
        </w:rPr>
        <w:t>响应限价，</w:t>
      </w:r>
      <w:r>
        <w:rPr>
          <w:rFonts w:hint="eastAsia" w:asciiTheme="minorEastAsia" w:hAnsiTheme="minorEastAsia" w:eastAsiaTheme="minorEastAsia"/>
          <w:szCs w:val="21"/>
          <w:lang w:val="en-US" w:eastAsia="zh-CN"/>
        </w:rPr>
        <w:t>不含税总价</w:t>
      </w:r>
      <w:r>
        <w:rPr>
          <w:rFonts w:hint="eastAsia" w:asciiTheme="minorEastAsia" w:hAnsiTheme="minorEastAsia" w:eastAsiaTheme="minorEastAsia"/>
          <w:szCs w:val="21"/>
        </w:rPr>
        <w:t>最高响应限价</w:t>
      </w:r>
      <w:r>
        <w:rPr>
          <w:rFonts w:hint="eastAsia" w:asciiTheme="minorEastAsia" w:hAnsiTheme="minorEastAsia" w:eastAsiaTheme="minorEastAsia"/>
          <w:szCs w:val="21"/>
          <w:lang w:val="en-US" w:eastAsia="zh-CN"/>
        </w:rPr>
        <w:t>为283018.87元</w:t>
      </w:r>
      <w:r>
        <w:rPr>
          <w:rFonts w:hint="eastAsia" w:asciiTheme="minorEastAsia" w:hAnsiTheme="minorEastAsia" w:eastAsiaTheme="minorEastAsia"/>
          <w:szCs w:val="21"/>
        </w:rPr>
        <w:t>，供应商响应报价高于最高响应限价的，其响应将被否决。</w:t>
      </w:r>
    </w:p>
    <w:p w14:paraId="50E66385">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2.</w:t>
      </w:r>
      <w:r>
        <w:rPr>
          <w:rFonts w:hint="eastAsia" w:asciiTheme="minorEastAsia" w:hAnsiTheme="minorEastAsia" w:eastAsiaTheme="minorEastAsia"/>
          <w:b/>
          <w:szCs w:val="21"/>
        </w:rPr>
        <w:t>供应商资格要求</w:t>
      </w:r>
      <w:bookmarkEnd w:id="18"/>
      <w:bookmarkEnd w:id="19"/>
      <w:bookmarkEnd w:id="20"/>
      <w:r>
        <w:rPr>
          <w:rFonts w:hint="eastAsia" w:asciiTheme="minorEastAsia" w:hAnsiTheme="minorEastAsia" w:eastAsiaTheme="minorEastAsia"/>
          <w:b/>
          <w:szCs w:val="21"/>
        </w:rPr>
        <w:t xml:space="preserve"> </w:t>
      </w:r>
    </w:p>
    <w:p w14:paraId="3184CD2B">
      <w:pPr>
        <w:numPr>
          <w:ilvl w:val="1"/>
          <w:numId w:val="0"/>
        </w:numPr>
        <w:spacing w:line="440" w:lineRule="exact"/>
        <w:ind w:left="0" w:leftChars="0" w:firstLine="426" w:firstLineChars="0"/>
        <w:rPr>
          <w:rFonts w:hint="eastAsia" w:asciiTheme="minorEastAsia" w:hAnsiTheme="minorEastAsia" w:eastAsiaTheme="minorEastAsia"/>
          <w:szCs w:val="21"/>
        </w:rPr>
      </w:pPr>
      <w:bookmarkStart w:id="21" w:name="_Toc184704556"/>
      <w:bookmarkStart w:id="22" w:name="_Toc319394715"/>
      <w:bookmarkStart w:id="23" w:name="_Toc319769474"/>
      <w:r>
        <w:rPr>
          <w:rFonts w:hint="eastAsia" w:cs="Times New Roman" w:asciiTheme="minorEastAsia" w:hAnsiTheme="minorEastAsia" w:eastAsiaTheme="minorEastAsia"/>
          <w:kern w:val="2"/>
          <w:sz w:val="21"/>
          <w:szCs w:val="21"/>
          <w:lang w:val="en-US" w:eastAsia="zh-CN" w:bidi="ar-SA"/>
        </w:rPr>
        <w:t>2.1</w:t>
      </w:r>
      <w:r>
        <w:rPr>
          <w:rFonts w:hint="eastAsia" w:asciiTheme="minorEastAsia" w:hAnsiTheme="minorEastAsia" w:eastAsiaTheme="minorEastAsia"/>
          <w:szCs w:val="21"/>
        </w:rPr>
        <w:t>供应商基本资格要求：</w:t>
      </w:r>
    </w:p>
    <w:p w14:paraId="405262B0">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（1）供应商应为中华人民共和国境内法律上和财务上独立的法人或依法登记注册的组织，合法运作并独立于采购人和采购代理机构。</w:t>
      </w:r>
    </w:p>
    <w:p w14:paraId="0689CEC0">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（2）单位负责人为同一人或者存在控股、管理关系的不同单位，不得参加同一标包响应或者未划分标包的同一采购项目响应。</w:t>
      </w:r>
    </w:p>
    <w:p w14:paraId="166654EF">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（3）须承诺为本项目开具增值税专用发票。（提供承诺）</w:t>
      </w:r>
    </w:p>
    <w:p w14:paraId="62338553">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（4）本项目不接受联合体响应。</w:t>
      </w:r>
    </w:p>
    <w:p w14:paraId="308E8A29">
      <w:pPr>
        <w:numPr>
          <w:ilvl w:val="1"/>
          <w:numId w:val="0"/>
        </w:numPr>
        <w:spacing w:line="440" w:lineRule="exact"/>
        <w:ind w:left="0" w:leftChars="0" w:firstLine="426" w:firstLineChars="0"/>
        <w:rPr>
          <w:rFonts w:hint="eastAsia"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kern w:val="2"/>
          <w:sz w:val="21"/>
          <w:szCs w:val="21"/>
          <w:lang w:val="en-US" w:eastAsia="zh-CN" w:bidi="ar-SA"/>
        </w:rPr>
        <w:t>（5）本项目不接受代理商响应。</w:t>
      </w:r>
    </w:p>
    <w:p w14:paraId="3F1421A1">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2.2</w:t>
      </w:r>
      <w:r>
        <w:rPr>
          <w:rFonts w:hint="eastAsia" w:asciiTheme="minorEastAsia" w:hAnsiTheme="minorEastAsia" w:eastAsiaTheme="minorEastAsia"/>
          <w:szCs w:val="21"/>
        </w:rPr>
        <w:t>供应商不得存在下列情形之一：</w:t>
      </w:r>
    </w:p>
    <w:p w14:paraId="06E64BFC">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为采购人不具有独立法人资格的附属机构（单位）；</w:t>
      </w:r>
    </w:p>
    <w:p w14:paraId="4BFDA863">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被依法暂停或取消投标/响应资格的；</w:t>
      </w:r>
    </w:p>
    <w:p w14:paraId="5D31AD63">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asciiTheme="minorEastAsia" w:hAnsiTheme="minorEastAsia" w:eastAsiaTheme="minorEastAsia"/>
          <w:szCs w:val="21"/>
        </w:rPr>
        <w:t xml:space="preserve">被责令停产停业、暂扣或者吊销许可证、暂扣或者吊销执照； </w:t>
      </w:r>
    </w:p>
    <w:p w14:paraId="55D59D7C">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asciiTheme="minorEastAsia" w:hAnsiTheme="minorEastAsia" w:eastAsiaTheme="minorEastAsia"/>
          <w:szCs w:val="21"/>
        </w:rPr>
        <w:t xml:space="preserve">进入清算程序，或被宣告破产，或其他丧失履约能力的情形； </w:t>
      </w:r>
    </w:p>
    <w:p w14:paraId="7F0774CF">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rPr>
        <w:t>在最近三年内[响应截止时间前36个月]被相关行业主管部门或司法机关认定骗取中标/成交、严重违约、重大工程质量或者安全问题的；</w:t>
      </w:r>
    </w:p>
    <w:p w14:paraId="5C193670">
      <w:pPr>
        <w:numPr>
          <w:ilvl w:val="0"/>
          <w:numId w:val="5"/>
        </w:numPr>
        <w:tabs>
          <w:tab w:val="left" w:pos="0"/>
          <w:tab w:val="left" w:pos="993"/>
          <w:tab w:val="left" w:pos="2564"/>
        </w:tabs>
        <w:spacing w:line="440" w:lineRule="exact"/>
        <w:ind w:left="-4" w:firstLine="424"/>
        <w:rPr>
          <w:rFonts w:asciiTheme="minorEastAsia" w:hAnsiTheme="minorEastAsia" w:eastAsiaTheme="minorEastAsia"/>
        </w:rPr>
      </w:pPr>
      <w:r>
        <w:rPr>
          <w:rFonts w:hint="eastAsia" w:asciiTheme="minorEastAsia" w:hAnsiTheme="minorEastAsia" w:eastAsiaTheme="minorEastAsia"/>
        </w:rPr>
        <w:t>在最近五年内[响应截止时间前60个月]被判处单位行贿罪，且行贿行为与采购活动相关的（以“中国裁判文书网”的生效判决为准）；</w:t>
      </w:r>
    </w:p>
    <w:p w14:paraId="4E4A4FA9">
      <w:pPr>
        <w:numPr>
          <w:ilvl w:val="0"/>
          <w:numId w:val="5"/>
        </w:numPr>
        <w:tabs>
          <w:tab w:val="left" w:pos="0"/>
          <w:tab w:val="left" w:pos="993"/>
          <w:tab w:val="left" w:pos="2564"/>
        </w:tabs>
        <w:spacing w:line="440" w:lineRule="exact"/>
        <w:ind w:left="-4" w:firstLine="424"/>
        <w:rPr>
          <w:rFonts w:asciiTheme="minorEastAsia" w:hAnsiTheme="minorEastAsia" w:eastAsiaTheme="minorEastAsia"/>
        </w:rPr>
      </w:pPr>
      <w:r>
        <w:rPr>
          <w:rFonts w:hint="eastAsia" w:asciiTheme="minorEastAsia" w:hAnsiTheme="minorEastAsia" w:eastAsiaTheme="minorEastAsia"/>
        </w:rPr>
        <w:t>在最近五年内[响应截止时间前60个月]被判处合同诈骗罪的（以“中国裁判文书网”的生效判决为准）；</w:t>
      </w:r>
    </w:p>
    <w:p w14:paraId="13DEF298">
      <w:pPr>
        <w:numPr>
          <w:ilvl w:val="0"/>
          <w:numId w:val="5"/>
        </w:numPr>
        <w:tabs>
          <w:tab w:val="left" w:pos="0"/>
          <w:tab w:val="left" w:pos="993"/>
          <w:tab w:val="left" w:pos="2564"/>
        </w:tabs>
        <w:spacing w:line="440" w:lineRule="exact"/>
        <w:ind w:left="-4" w:firstLine="424"/>
        <w:rPr>
          <w:rFonts w:asciiTheme="minorEastAsia" w:hAnsiTheme="minorEastAsia" w:eastAsiaTheme="minorEastAsia"/>
        </w:rPr>
      </w:pPr>
      <w:r>
        <w:rPr>
          <w:rFonts w:hint="eastAsia" w:asciiTheme="minorEastAsia" w:hAnsiTheme="minorEastAsia" w:eastAsiaTheme="minorEastAsia"/>
        </w:rPr>
        <w:t>被最高人民法院在</w:t>
      </w:r>
      <w:r>
        <w:rPr>
          <w:rFonts w:asciiTheme="minorEastAsia" w:hAnsiTheme="minorEastAsia" w:eastAsiaTheme="minorEastAsia"/>
        </w:rPr>
        <w:t>“信用中国”网站（www.creditchina.gov.cn）或各级信用信息共享平台</w:t>
      </w:r>
      <w:r>
        <w:rPr>
          <w:rFonts w:hint="eastAsia" w:asciiTheme="minorEastAsia" w:hAnsiTheme="minorEastAsia" w:eastAsiaTheme="minorEastAsia"/>
        </w:rPr>
        <w:t>中列入失信被执行人名单，已执行完毕或不再执行的除外</w:t>
      </w:r>
      <w:r>
        <w:rPr>
          <w:rFonts w:asciiTheme="minorEastAsia" w:hAnsiTheme="minorEastAsia" w:eastAsiaTheme="minorEastAsia"/>
        </w:rPr>
        <w:t>；</w:t>
      </w:r>
    </w:p>
    <w:p w14:paraId="6B0D6FC8">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为本询比项目提供过设计、编制技术规范和其他文件的咨询服务；</w:t>
      </w:r>
    </w:p>
    <w:p w14:paraId="7D863F31">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为本工程项目的相关监理人，或者与本工程项目的相关监理人存在隶属关系或者其他利害关系；</w:t>
      </w:r>
    </w:p>
    <w:p w14:paraId="22333E9A">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为本询比项目的代建人；</w:t>
      </w:r>
    </w:p>
    <w:p w14:paraId="22F560E8">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为本询比项目的采购代理机构；</w:t>
      </w:r>
    </w:p>
    <w:p w14:paraId="3A935848">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与本询比项目的监理人或代建人或采购代理机构同为一个法定代表人；</w:t>
      </w:r>
    </w:p>
    <w:p w14:paraId="41AE9E3E">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与本询比项目的监理人或代建人或采购代理机构存在控股或参股关系；</w:t>
      </w:r>
    </w:p>
    <w:p w14:paraId="62F9936D">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被工商行政管理机关在国家企业信用信息公示系统中列入严重违法失信企业名单</w:t>
      </w:r>
      <w:r>
        <w:rPr>
          <w:rFonts w:asciiTheme="minorEastAsia" w:hAnsiTheme="minorEastAsia" w:eastAsiaTheme="minorEastAsia"/>
          <w:szCs w:val="21"/>
        </w:rPr>
        <w:t>的；</w:t>
      </w:r>
    </w:p>
    <w:p w14:paraId="6DC9C896">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中国电信在职员工违规担任供应商法定代表人并参与采购活动的；</w:t>
      </w:r>
    </w:p>
    <w:p w14:paraId="5F45E2DB">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中国电信集团有限公司/中国电信股份有限公司中层及以上管理人员违反有关领导人员配偶、子女及其配偶经商办企业行为管理规定，其配偶、子女及其配偶经商办企业参与采购活动的；</w:t>
      </w:r>
    </w:p>
    <w:p w14:paraId="2E5C151A">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中国电信领导人员离职或退休后三年内违反《国有企业领导人员廉洁从业若干规定》等相关规定任职、投资入股的私营企业、外资企业和中介机构</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参与其原任职单位采购活动的；</w:t>
      </w:r>
    </w:p>
    <w:p w14:paraId="2EF461AA">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【其他按照中国电信供应商不良行为处理结果及《中国电信供应商不良行为管理规则》的结果执行规则，应对供应商</w:t>
      </w:r>
      <w:r>
        <w:rPr>
          <w:rFonts w:asciiTheme="minorEastAsia" w:hAnsiTheme="minorEastAsia" w:eastAsiaTheme="minorEastAsia"/>
          <w:szCs w:val="21"/>
        </w:rPr>
        <w:t>及</w:t>
      </w:r>
      <w:r>
        <w:rPr>
          <w:rFonts w:hint="eastAsia" w:asciiTheme="minorEastAsia" w:hAnsiTheme="minorEastAsia" w:eastAsiaTheme="minorEastAsia"/>
          <w:szCs w:val="21"/>
        </w:rPr>
        <w:t>其响应</w:t>
      </w:r>
      <w:r>
        <w:rPr>
          <w:rFonts w:asciiTheme="minorEastAsia" w:hAnsiTheme="minorEastAsia" w:eastAsiaTheme="minorEastAsia"/>
          <w:szCs w:val="21"/>
        </w:rPr>
        <w:t>产品</w:t>
      </w:r>
      <w:r>
        <w:rPr>
          <w:rFonts w:hint="eastAsia" w:asciiTheme="minorEastAsia" w:hAnsiTheme="minorEastAsia" w:eastAsiaTheme="minorEastAsia"/>
          <w:szCs w:val="21"/>
        </w:rPr>
        <w:t>在本项目中执行禁止采购处理措施的；[如涉及联合采购，请同时明确其他联合采购方的不良行为处理结果及相关规则]】</w:t>
      </w:r>
    </w:p>
    <w:p w14:paraId="2EDE7FF4">
      <w:pPr>
        <w:numPr>
          <w:ilvl w:val="0"/>
          <w:numId w:val="5"/>
        </w:numPr>
        <w:tabs>
          <w:tab w:val="left" w:pos="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法律法规、询比文件限定的其他情形。</w:t>
      </w:r>
    </w:p>
    <w:p w14:paraId="28DF7B59">
      <w:pPr>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供应商是代理商的，本条所指的供应商也包括其所代理的制造商；联合体响应的，联合体成员均不得存在上述任一情形。</w:t>
      </w:r>
    </w:p>
    <w:p w14:paraId="7A0B9B4B">
      <w:pPr>
        <w:numPr>
          <w:ilvl w:val="1"/>
          <w:numId w:val="0"/>
        </w:numPr>
        <w:spacing w:line="440" w:lineRule="exact"/>
        <w:ind w:left="0" w:leftChars="0" w:firstLine="426" w:firstLineChars="0"/>
        <w:rPr>
          <w:rFonts w:hint="eastAsia" w:eastAsia="宋体" w:asciiTheme="minorEastAsia" w:hAnsiTheme="minorEastAsia"/>
          <w:szCs w:val="21"/>
          <w:lang w:val="en-US" w:eastAsia="zh-CN"/>
        </w:rPr>
      </w:pPr>
      <w:r>
        <w:rPr>
          <w:rFonts w:hint="eastAsia" w:cs="Times New Roman" w:asciiTheme="minorEastAsia" w:hAnsiTheme="minorEastAsia" w:eastAsiaTheme="minorEastAsia"/>
          <w:kern w:val="2"/>
          <w:sz w:val="21"/>
          <w:szCs w:val="21"/>
          <w:lang w:val="en-US" w:eastAsia="zh-CN" w:bidi="ar-SA"/>
        </w:rPr>
        <w:t>2.3</w:t>
      </w:r>
      <w:r>
        <w:rPr>
          <w:rFonts w:hint="eastAsia" w:asciiTheme="minorEastAsia" w:hAnsiTheme="minorEastAsia" w:eastAsiaTheme="minorEastAsia"/>
          <w:szCs w:val="21"/>
        </w:rPr>
        <w:t>产品资格要求：</w:t>
      </w:r>
      <w:r>
        <w:rPr>
          <w:rFonts w:hint="eastAsia" w:ascii="宋体" w:hAnsi="宋体"/>
          <w:szCs w:val="21"/>
        </w:rPr>
        <w:t>产品应是来自中华人民共和国</w:t>
      </w:r>
      <w:bookmarkStart w:id="24" w:name="ZBa9917da1a433b794b8cf1cebdacd9bb6"/>
      <w:bookmarkEnd w:id="24"/>
      <w:r>
        <w:rPr>
          <w:rFonts w:hint="eastAsia" w:ascii="宋体" w:hAnsi="宋体"/>
          <w:vanish/>
          <w:szCs w:val="21"/>
        </w:rPr>
        <w:t>或是与中华人民共和国有正常贸易与往来的国家或地区</w:t>
      </w:r>
      <w:bookmarkStart w:id="25" w:name="ZBa9917da1a433b794b8cf1cebdacd9bb6End"/>
      <w:bookmarkEnd w:id="25"/>
      <w:r>
        <w:rPr>
          <w:rFonts w:hint="eastAsia" w:ascii="宋体" w:hAnsi="宋体"/>
          <w:szCs w:val="21"/>
        </w:rPr>
        <w:t>的成熟稳定的产品</w:t>
      </w:r>
      <w:r>
        <w:rPr>
          <w:rFonts w:hint="eastAsia" w:ascii="宋体" w:hAnsi="宋体"/>
          <w:szCs w:val="21"/>
          <w:lang w:val="en-US" w:eastAsia="zh-CN"/>
        </w:rPr>
        <w:t>.</w:t>
      </w:r>
    </w:p>
    <w:p w14:paraId="2A518841">
      <w:pPr>
        <w:numPr>
          <w:ilvl w:val="1"/>
          <w:numId w:val="0"/>
        </w:numPr>
        <w:wordWrap w:val="0"/>
        <w:spacing w:line="440" w:lineRule="exact"/>
        <w:ind w:left="0" w:leftChars="0" w:firstLine="425"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2.4</w:t>
      </w:r>
      <w:r>
        <w:rPr>
          <w:rFonts w:hint="eastAsia" w:asciiTheme="minorEastAsia" w:hAnsiTheme="minorEastAsia" w:eastAsiaTheme="minorEastAsia"/>
          <w:szCs w:val="21"/>
        </w:rPr>
        <w:t>产品【制造商、集成商、软件开发商、软件著作权人等】资格要求：无</w:t>
      </w:r>
    </w:p>
    <w:p w14:paraId="14E4F0C5">
      <w:pPr>
        <w:numPr>
          <w:ilvl w:val="1"/>
          <w:numId w:val="0"/>
        </w:numPr>
        <w:wordWrap w:val="0"/>
        <w:spacing w:line="440" w:lineRule="exact"/>
        <w:ind w:left="0" w:leftChars="0" w:firstLine="425"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2.5</w:t>
      </w:r>
      <w:r>
        <w:rPr>
          <w:rFonts w:hint="eastAsia" w:asciiTheme="minorEastAsia" w:hAnsiTheme="minorEastAsia" w:eastAsiaTheme="minorEastAsia"/>
          <w:szCs w:val="21"/>
        </w:rPr>
        <w:t>【评价检测】：无</w:t>
      </w:r>
    </w:p>
    <w:p w14:paraId="2DF57029">
      <w:pPr>
        <w:numPr>
          <w:ilvl w:val="1"/>
          <w:numId w:val="0"/>
        </w:numPr>
        <w:spacing w:line="440" w:lineRule="exact"/>
        <w:ind w:left="0" w:leftChars="0" w:firstLine="426" w:firstLineChars="0"/>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2.6</w:t>
      </w:r>
      <w:r>
        <w:rPr>
          <w:rFonts w:hint="eastAsia" w:asciiTheme="minorEastAsia" w:hAnsiTheme="minorEastAsia" w:eastAsiaTheme="minorEastAsia"/>
          <w:szCs w:val="21"/>
        </w:rPr>
        <w:t>法律法规规定的其他要求。</w:t>
      </w:r>
    </w:p>
    <w:p w14:paraId="3BDCB062">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3.</w:t>
      </w:r>
      <w:r>
        <w:rPr>
          <w:rFonts w:hint="eastAsia" w:asciiTheme="minorEastAsia" w:hAnsiTheme="minorEastAsia" w:eastAsiaTheme="minorEastAsia"/>
          <w:b/>
          <w:szCs w:val="21"/>
        </w:rPr>
        <w:t>资格审查方法</w:t>
      </w:r>
      <w:bookmarkEnd w:id="21"/>
      <w:bookmarkEnd w:id="22"/>
      <w:bookmarkEnd w:id="23"/>
    </w:p>
    <w:p w14:paraId="1C677120">
      <w:pPr>
        <w:pStyle w:val="48"/>
        <w:adjustRightInd w:val="0"/>
        <w:snapToGrid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本项目将进行资格后审，资格审查标准和内容见询比文件第三章“评审办法”，凡未通过资格后审的供应商，其响应将被否决。</w:t>
      </w:r>
    </w:p>
    <w:p w14:paraId="476BA414">
      <w:pPr>
        <w:pStyle w:val="48"/>
        <w:numPr>
          <w:ilvl w:val="0"/>
          <w:numId w:val="0"/>
        </w:numPr>
        <w:adjustRightInd w:val="0"/>
        <w:snapToGrid w:val="0"/>
        <w:spacing w:line="440" w:lineRule="exact"/>
        <w:ind w:left="5" w:leftChars="0" w:hanging="5" w:firstLineChars="0"/>
        <w:rPr>
          <w:rFonts w:hint="eastAsia" w:asciiTheme="minorEastAsia" w:hAnsiTheme="minorEastAsia" w:eastAsiaTheme="minorEastAsia"/>
          <w:bCs/>
        </w:rPr>
      </w:pPr>
      <w:r>
        <w:rPr>
          <w:rFonts w:hint="eastAsia" w:cs="Times New Roman" w:asciiTheme="minorEastAsia" w:hAnsiTheme="minorEastAsia" w:eastAsiaTheme="minorEastAsia"/>
          <w:bCs/>
          <w:kern w:val="2"/>
          <w:sz w:val="21"/>
          <w:szCs w:val="24"/>
          <w:lang w:val="en-US" w:eastAsia="zh-CN" w:bidi="ar-SA"/>
        </w:rPr>
        <w:t>4.</w:t>
      </w:r>
      <w:r>
        <w:rPr>
          <w:rFonts w:hint="eastAsia" w:asciiTheme="minorEastAsia" w:hAnsiTheme="minorEastAsia" w:eastAsiaTheme="minorEastAsia"/>
          <w:b/>
          <w:szCs w:val="21"/>
        </w:rPr>
        <w:t>询比文件的获取</w:t>
      </w:r>
    </w:p>
    <w:p w14:paraId="0D0EE66E">
      <w:pPr>
        <w:spacing w:line="440" w:lineRule="exact"/>
        <w:ind w:firstLine="420" w:firstLineChars="200"/>
        <w:rPr>
          <w:rFonts w:asciiTheme="minorEastAsia" w:hAnsiTheme="minorEastAsia" w:eastAsiaTheme="minorEastAsia"/>
          <w:szCs w:val="21"/>
        </w:rPr>
      </w:pPr>
      <w:r>
        <w:rPr>
          <w:rFonts w:asciiTheme="minorEastAsia" w:hAnsiTheme="minorEastAsia" w:eastAsiaTheme="minorEastAsia"/>
        </w:rPr>
        <w:t>4.1</w:t>
      </w:r>
      <w:r>
        <w:rPr>
          <w:rFonts w:hint="eastAsia" w:asciiTheme="minorEastAsia" w:hAnsiTheme="minorEastAsia" w:eastAsiaTheme="minorEastAsia"/>
          <w:spacing w:val="2"/>
          <w:szCs w:val="21"/>
        </w:rPr>
        <w:t>询比文件获取时间：2025年</w:t>
      </w:r>
      <w:r>
        <w:rPr>
          <w:rFonts w:hint="eastAsia" w:asciiTheme="minorEastAsia" w:hAnsiTheme="minorEastAsia" w:eastAsiaTheme="minorEastAsia"/>
          <w:spacing w:val="2"/>
          <w:szCs w:val="21"/>
          <w:lang w:val="en-US" w:eastAsia="zh-CN"/>
        </w:rPr>
        <w:t>9</w:t>
      </w:r>
      <w:r>
        <w:rPr>
          <w:rFonts w:hint="eastAsia" w:asciiTheme="minorEastAsia" w:hAnsiTheme="minorEastAsia" w:eastAsiaTheme="minorEastAsia"/>
          <w:spacing w:val="2"/>
          <w:szCs w:val="21"/>
        </w:rPr>
        <w:t>月</w:t>
      </w:r>
      <w:r>
        <w:rPr>
          <w:rFonts w:hint="eastAsia" w:asciiTheme="minorEastAsia" w:hAnsiTheme="minorEastAsia" w:eastAsiaTheme="minorEastAsia"/>
          <w:spacing w:val="2"/>
          <w:szCs w:val="21"/>
          <w:lang w:val="en-US" w:eastAsia="zh-CN"/>
        </w:rPr>
        <w:t>12</w:t>
      </w:r>
      <w:r>
        <w:rPr>
          <w:rFonts w:hint="eastAsia" w:asciiTheme="minorEastAsia" w:hAnsiTheme="minorEastAsia" w:eastAsiaTheme="minorEastAsia"/>
          <w:spacing w:val="2"/>
          <w:szCs w:val="21"/>
        </w:rPr>
        <w:t>日09时00分至2025年</w:t>
      </w:r>
      <w:r>
        <w:rPr>
          <w:rFonts w:hint="eastAsia" w:asciiTheme="minorEastAsia" w:hAnsiTheme="minorEastAsia" w:eastAsiaTheme="minorEastAsia"/>
          <w:spacing w:val="2"/>
          <w:szCs w:val="21"/>
          <w:lang w:val="en-US" w:eastAsia="zh-CN"/>
        </w:rPr>
        <w:t>9</w:t>
      </w:r>
      <w:r>
        <w:rPr>
          <w:rFonts w:hint="eastAsia" w:asciiTheme="minorEastAsia" w:hAnsiTheme="minorEastAsia" w:eastAsiaTheme="minorEastAsia"/>
          <w:spacing w:val="2"/>
          <w:szCs w:val="21"/>
        </w:rPr>
        <w:t>月</w:t>
      </w:r>
      <w:r>
        <w:rPr>
          <w:rFonts w:hint="eastAsia" w:asciiTheme="minorEastAsia" w:hAnsiTheme="minorEastAsia" w:eastAsiaTheme="minorEastAsia"/>
          <w:spacing w:val="2"/>
          <w:szCs w:val="21"/>
          <w:lang w:val="en-US" w:eastAsia="zh-CN"/>
        </w:rPr>
        <w:t>16</w:t>
      </w:r>
      <w:r>
        <w:rPr>
          <w:rFonts w:hint="eastAsia" w:asciiTheme="minorEastAsia" w:hAnsiTheme="minorEastAsia" w:eastAsiaTheme="minorEastAsia"/>
          <w:spacing w:val="2"/>
          <w:szCs w:val="21"/>
        </w:rPr>
        <w:t>日17时00分（北京时间，下同）</w:t>
      </w:r>
      <w:r>
        <w:rPr>
          <w:rFonts w:hint="eastAsia" w:asciiTheme="minorEastAsia" w:hAnsiTheme="minorEastAsia" w:eastAsiaTheme="minorEastAsia"/>
          <w:szCs w:val="21"/>
        </w:rPr>
        <w:t>。</w:t>
      </w:r>
    </w:p>
    <w:p w14:paraId="251DF8C2">
      <w:pPr>
        <w:pStyle w:val="48"/>
        <w:tabs>
          <w:tab w:val="left" w:pos="993"/>
        </w:tabs>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4.2</w:t>
      </w:r>
      <w:r>
        <w:rPr>
          <w:rFonts w:hint="eastAsia" w:asciiTheme="minorEastAsia" w:hAnsiTheme="minorEastAsia" w:eastAsiaTheme="minorEastAsia"/>
          <w:spacing w:val="2"/>
          <w:szCs w:val="21"/>
        </w:rPr>
        <w:t>询比文件获取方式：</w:t>
      </w: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w:t>
      </w:r>
      <w:r>
        <w:rPr>
          <w:rFonts w:hint="eastAsia"/>
        </w:rPr>
        <w:t>后，通过“招投标-采购文件领取”模块或通过“电子采购入口”跳转中国电信电子采购系统，进入本项目进行询比文件登记申领</w:t>
      </w:r>
      <w:r>
        <w:rPr>
          <w:rFonts w:hint="eastAsia" w:asciiTheme="minorEastAsia" w:hAnsiTheme="minorEastAsia" w:eastAsiaTheme="minorEastAsia"/>
        </w:rPr>
        <w:t>，未在系统注册的供应商须先进行注册，注册方法详见本公告“7供应商注册”。</w:t>
      </w:r>
    </w:p>
    <w:p w14:paraId="09DCE4D9">
      <w:pPr>
        <w:pStyle w:val="48"/>
        <w:adjustRightInd w:val="0"/>
        <w:snapToGrid w:val="0"/>
        <w:spacing w:line="440" w:lineRule="exact"/>
        <w:ind w:left="5" w:firstLine="419" w:firstLineChars="196"/>
        <w:rPr>
          <w:rFonts w:asciiTheme="minorEastAsia" w:hAnsiTheme="minorEastAsia" w:eastAsiaTheme="minorEastAsia"/>
          <w:b/>
          <w:szCs w:val="21"/>
        </w:rPr>
      </w:pPr>
      <w:r>
        <w:rPr>
          <w:rFonts w:asciiTheme="minorEastAsia" w:hAnsiTheme="minorEastAsia" w:eastAsiaTheme="minorEastAsia"/>
          <w:spacing w:val="2"/>
          <w:szCs w:val="21"/>
        </w:rPr>
        <w:t xml:space="preserve">4.3 </w:t>
      </w:r>
      <w:r>
        <w:rPr>
          <w:rFonts w:hint="eastAsia" w:asciiTheme="minorEastAsia" w:hAnsiTheme="minorEastAsia" w:eastAsiaTheme="minorEastAsia"/>
          <w:spacing w:val="2"/>
          <w:szCs w:val="21"/>
        </w:rPr>
        <w:t>【获取本询比文件不收取费用。</w:t>
      </w:r>
      <w:r>
        <w:rPr>
          <w:rFonts w:hint="eastAsia" w:asciiTheme="minorEastAsia" w:hAnsiTheme="minorEastAsia" w:eastAsiaTheme="minorEastAsia"/>
        </w:rPr>
        <w:t>】</w:t>
      </w:r>
    </w:p>
    <w:p w14:paraId="629B085C">
      <w:pPr>
        <w:pStyle w:val="48"/>
        <w:numPr>
          <w:ilvl w:val="0"/>
          <w:numId w:val="0"/>
        </w:numPr>
        <w:adjustRightInd w:val="0"/>
        <w:snapToGrid w:val="0"/>
        <w:spacing w:line="440" w:lineRule="exact"/>
        <w:ind w:left="5" w:leftChars="0" w:hanging="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5.</w:t>
      </w:r>
      <w:r>
        <w:rPr>
          <w:rFonts w:hint="eastAsia" w:asciiTheme="minorEastAsia" w:hAnsiTheme="minorEastAsia" w:eastAsiaTheme="minorEastAsia"/>
          <w:b/>
          <w:szCs w:val="21"/>
        </w:rPr>
        <w:t>响应文件的提交</w:t>
      </w:r>
    </w:p>
    <w:p w14:paraId="76465723">
      <w:pPr>
        <w:wordWrap w:val="0"/>
        <w:adjustRightInd w:val="0"/>
        <w:snapToGrid w:val="0"/>
        <w:spacing w:line="440" w:lineRule="exact"/>
        <w:ind w:firstLine="630" w:firstLineChars="300"/>
        <w:rPr>
          <w:rFonts w:hint="eastAsia" w:ascii="宋体" w:hAnsi="宋体" w:cs="宋体"/>
          <w:b/>
          <w:bCs/>
          <w:szCs w:val="21"/>
          <w:highlight w:val="none"/>
        </w:rPr>
      </w:pPr>
      <w:r>
        <w:rPr>
          <w:rFonts w:hint="eastAsia" w:asciiTheme="minorEastAsia" w:hAnsiTheme="minorEastAsia" w:eastAsiaTheme="minorEastAsia"/>
          <w:szCs w:val="21"/>
        </w:rPr>
        <w:t>5.1响应文件</w:t>
      </w:r>
      <w:r>
        <w:rPr>
          <w:rFonts w:hint="eastAsia" w:asciiTheme="minorEastAsia" w:hAnsiTheme="minorEastAsia" w:eastAsiaTheme="minorEastAsia"/>
        </w:rPr>
        <w:t>提交截止时间</w:t>
      </w:r>
      <w:r>
        <w:rPr>
          <w:rFonts w:hint="eastAsia" w:asciiTheme="minorEastAsia" w:hAnsiTheme="minorEastAsia" w:eastAsiaTheme="minorEastAsia"/>
          <w:szCs w:val="21"/>
        </w:rPr>
        <w:t>（即响应截止时间）：</w:t>
      </w:r>
      <w:r>
        <w:rPr>
          <w:rFonts w:hint="eastAsia" w:ascii="宋体" w:hAnsi="宋体" w:cs="宋体"/>
          <w:b/>
          <w:bCs/>
          <w:szCs w:val="21"/>
          <w:highlight w:val="none"/>
        </w:rPr>
        <w:t>202</w:t>
      </w:r>
      <w:r>
        <w:rPr>
          <w:rFonts w:hint="eastAsia" w:ascii="宋体" w:hAnsi="宋体" w:cs="宋体"/>
          <w:b/>
          <w:bCs/>
          <w:szCs w:val="21"/>
          <w:highlight w:val="none"/>
          <w:lang w:val="en-US" w:eastAsia="zh-CN"/>
        </w:rPr>
        <w:t>5</w:t>
      </w:r>
      <w:r>
        <w:rPr>
          <w:rFonts w:hint="eastAsia" w:ascii="宋体" w:hAnsi="宋体" w:cs="宋体"/>
          <w:b/>
          <w:bCs/>
          <w:szCs w:val="21"/>
          <w:highlight w:val="none"/>
        </w:rPr>
        <w:t>年</w:t>
      </w:r>
      <w:r>
        <w:rPr>
          <w:rFonts w:hint="eastAsia" w:ascii="宋体" w:hAnsi="宋体" w:cs="宋体"/>
          <w:b/>
          <w:bCs/>
          <w:szCs w:val="21"/>
          <w:highlight w:val="none"/>
          <w:lang w:val="en-US" w:eastAsia="zh-CN"/>
        </w:rPr>
        <w:t>9</w:t>
      </w:r>
      <w:r>
        <w:rPr>
          <w:rFonts w:hint="eastAsia" w:ascii="宋体" w:hAnsi="宋体" w:cs="宋体"/>
          <w:b/>
          <w:bCs/>
          <w:szCs w:val="21"/>
          <w:highlight w:val="none"/>
        </w:rPr>
        <w:t>月</w:t>
      </w:r>
      <w:r>
        <w:rPr>
          <w:rFonts w:hint="eastAsia" w:ascii="宋体" w:hAnsi="宋体" w:cs="宋体"/>
          <w:b/>
          <w:bCs/>
          <w:szCs w:val="21"/>
          <w:highlight w:val="none"/>
          <w:lang w:val="en-US" w:eastAsia="zh-CN"/>
        </w:rPr>
        <w:t>19</w:t>
      </w:r>
      <w:r>
        <w:rPr>
          <w:rFonts w:hint="eastAsia" w:ascii="宋体" w:hAnsi="宋体" w:cs="宋体"/>
          <w:b/>
          <w:bCs/>
          <w:szCs w:val="21"/>
          <w:highlight w:val="none"/>
        </w:rPr>
        <w:t>日</w:t>
      </w:r>
      <w:r>
        <w:rPr>
          <w:rFonts w:hint="eastAsia" w:ascii="宋体" w:hAnsi="宋体" w:cs="宋体"/>
          <w:b/>
          <w:bCs/>
          <w:szCs w:val="21"/>
          <w:highlight w:val="none"/>
          <w:lang w:val="en-US" w:eastAsia="zh-CN"/>
        </w:rPr>
        <w:t>9</w:t>
      </w:r>
      <w:r>
        <w:rPr>
          <w:rFonts w:hint="eastAsia" w:ascii="宋体" w:hAnsi="宋体" w:cs="宋体"/>
          <w:b/>
          <w:bCs/>
          <w:szCs w:val="21"/>
          <w:highlight w:val="none"/>
        </w:rPr>
        <w:t>时</w:t>
      </w:r>
      <w:r>
        <w:rPr>
          <w:rFonts w:hint="eastAsia" w:ascii="宋体" w:hAnsi="宋体" w:cs="宋体"/>
          <w:b/>
          <w:bCs/>
          <w:szCs w:val="21"/>
          <w:highlight w:val="none"/>
          <w:lang w:val="en-US" w:eastAsia="zh-CN"/>
        </w:rPr>
        <w:t>3</w:t>
      </w:r>
      <w:r>
        <w:rPr>
          <w:rFonts w:hint="eastAsia" w:ascii="宋体" w:hAnsi="宋体" w:cs="宋体"/>
          <w:b/>
          <w:bCs/>
          <w:szCs w:val="21"/>
          <w:highlight w:val="none"/>
        </w:rPr>
        <w:t>0分</w:t>
      </w:r>
    </w:p>
    <w:p w14:paraId="78941224">
      <w:pPr>
        <w:pStyle w:val="48"/>
        <w:numPr>
          <w:ilvl w:val="0"/>
          <w:numId w:val="0"/>
        </w:numPr>
        <w:adjustRightInd w:val="0"/>
        <w:snapToGrid w:val="0"/>
        <w:spacing w:line="440" w:lineRule="exact"/>
        <w:ind w:firstLine="630" w:firstLineChars="300"/>
        <w:rPr>
          <w:rFonts w:hint="eastAsia" w:cs="Times New Roman" w:asciiTheme="minorEastAsia" w:hAnsiTheme="minorEastAsia" w:eastAsiaTheme="minorEastAsia"/>
          <w:b w:val="0"/>
          <w:bCs/>
          <w:kern w:val="2"/>
          <w:sz w:val="21"/>
          <w:szCs w:val="21"/>
          <w:lang w:val="en-US" w:eastAsia="zh-CN" w:bidi="ar-SA"/>
        </w:rPr>
      </w:pPr>
      <w:r>
        <w:rPr>
          <w:rFonts w:hint="eastAsia" w:cs="Times New Roman" w:asciiTheme="minorEastAsia" w:hAnsiTheme="minorEastAsia" w:eastAsiaTheme="minorEastAsia"/>
          <w:b w:val="0"/>
          <w:bCs/>
          <w:kern w:val="2"/>
          <w:sz w:val="21"/>
          <w:szCs w:val="21"/>
          <w:lang w:val="en-US" w:eastAsia="zh-CN" w:bidi="ar-SA"/>
        </w:rPr>
        <w:t xml:space="preserve">5.2电子响应文件的提交方式：【登录“中国电信阳光采购网（https://caigou.chinatelecom.com.cn）”后，通过“招投标-我的项目”模块或通过“电子采购入口”跳转中国电信电子采购系统，选择本项目进行响应文件提交，供应商应在响应文件提交截止时间之前通过电子采购系统完成加密电子响应文件的上传。供应商未在电子采购系统进行询比文件申领登记或电子响应文件未按照要求加密的，将无法通过电子采购系统提交电子响应文件。】 </w:t>
      </w:r>
    </w:p>
    <w:p w14:paraId="10C03B35">
      <w:pPr>
        <w:pStyle w:val="48"/>
        <w:numPr>
          <w:ilvl w:val="0"/>
          <w:numId w:val="0"/>
        </w:numPr>
        <w:adjustRightInd w:val="0"/>
        <w:snapToGrid w:val="0"/>
        <w:spacing w:line="440" w:lineRule="exact"/>
        <w:ind w:left="422" w:leftChars="200" w:hanging="2" w:hangingChars="1"/>
        <w:rPr>
          <w:rFonts w:hint="eastAsia" w:cs="Times New Roman" w:asciiTheme="minorEastAsia" w:hAnsiTheme="minorEastAsia" w:eastAsiaTheme="minorEastAsia"/>
          <w:b w:val="0"/>
          <w:bCs/>
          <w:kern w:val="2"/>
          <w:sz w:val="21"/>
          <w:szCs w:val="21"/>
          <w:lang w:val="en-US" w:eastAsia="zh-CN" w:bidi="ar-SA"/>
        </w:rPr>
      </w:pPr>
      <w:r>
        <w:rPr>
          <w:rFonts w:hint="eastAsia" w:cs="Times New Roman" w:asciiTheme="minorEastAsia" w:hAnsiTheme="minorEastAsia" w:eastAsiaTheme="minorEastAsia"/>
          <w:b w:val="0"/>
          <w:bCs/>
          <w:kern w:val="2"/>
          <w:sz w:val="21"/>
          <w:szCs w:val="21"/>
          <w:lang w:val="en-US" w:eastAsia="zh-CN" w:bidi="ar-SA"/>
        </w:rPr>
        <w:t>5.3本项目将于响应文件提交截止同一时间通过中国电信电子采购系统开启响应文件，【采购人/采购代理机构】邀请响应供应商的法定代表人或者其委托代理人准时参加。</w:t>
      </w:r>
    </w:p>
    <w:p w14:paraId="61E52E7C">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6.</w:t>
      </w:r>
      <w:r>
        <w:rPr>
          <w:rFonts w:hint="eastAsia" w:asciiTheme="minorEastAsia" w:hAnsiTheme="minorEastAsia" w:eastAsiaTheme="minorEastAsia"/>
          <w:b/>
          <w:szCs w:val="21"/>
        </w:rPr>
        <w:t>【样品的递交</w:t>
      </w:r>
      <w:r>
        <w:rPr>
          <w:rFonts w:asciiTheme="minorEastAsia" w:hAnsiTheme="minorEastAsia" w:eastAsiaTheme="minorEastAsia"/>
          <w:b/>
          <w:szCs w:val="21"/>
        </w:rPr>
        <w:t>】</w:t>
      </w:r>
    </w:p>
    <w:p w14:paraId="303544F5">
      <w:pPr>
        <w:pStyle w:val="48"/>
        <w:numPr>
          <w:ilvl w:val="1"/>
          <w:numId w:val="0"/>
        </w:numPr>
        <w:adjustRightInd w:val="0"/>
        <w:snapToGrid w:val="0"/>
        <w:spacing w:line="440" w:lineRule="exact"/>
        <w:ind w:left="0" w:leftChars="0" w:firstLine="424" w:firstLineChars="202"/>
        <w:rPr>
          <w:rFonts w:hint="eastAsia" w:asciiTheme="minorEastAsia" w:hAnsiTheme="minorEastAsia" w:eastAsiaTheme="minorEastAsia"/>
          <w:szCs w:val="21"/>
        </w:rPr>
      </w:pPr>
      <w:r>
        <w:rPr>
          <w:rFonts w:hint="eastAsia" w:cs="Times New Roman" w:asciiTheme="minorEastAsia" w:hAnsiTheme="minorEastAsia" w:eastAsiaTheme="minorEastAsia"/>
          <w:kern w:val="2"/>
          <w:sz w:val="21"/>
          <w:szCs w:val="21"/>
          <w:lang w:val="en-US" w:eastAsia="zh-CN" w:bidi="ar-SA"/>
        </w:rPr>
        <w:t>6.1</w:t>
      </w:r>
      <w:r>
        <w:rPr>
          <w:rFonts w:hint="eastAsia" w:asciiTheme="minorEastAsia" w:hAnsiTheme="minorEastAsia" w:eastAsiaTheme="minorEastAsia"/>
          <w:szCs w:val="21"/>
        </w:rPr>
        <w:t>样品递交的时间、地点：</w:t>
      </w:r>
      <w:r>
        <w:rPr>
          <w:rFonts w:hint="eastAsia" w:asciiTheme="minorEastAsia" w:hAnsiTheme="minorEastAsia" w:eastAsiaTheme="minorEastAsia"/>
          <w:szCs w:val="21"/>
          <w:u w:val="single"/>
        </w:rPr>
        <w:t xml:space="preserve">不涉及 </w:t>
      </w:r>
      <w:r>
        <w:rPr>
          <w:rFonts w:hint="eastAsia" w:asciiTheme="minorEastAsia" w:hAnsiTheme="minorEastAsia" w:eastAsiaTheme="minorEastAsia"/>
          <w:szCs w:val="21"/>
        </w:rPr>
        <w:t>。</w:t>
      </w:r>
    </w:p>
    <w:p w14:paraId="06A332CA">
      <w:pPr>
        <w:pStyle w:val="48"/>
        <w:numPr>
          <w:ilvl w:val="0"/>
          <w:numId w:val="0"/>
        </w:numPr>
        <w:adjustRightInd w:val="0"/>
        <w:snapToGrid w:val="0"/>
        <w:spacing w:line="440" w:lineRule="exact"/>
        <w:ind w:left="425" w:leftChars="0" w:hanging="425" w:firstLineChars="0"/>
        <w:rPr>
          <w:rFonts w:hint="eastAsia" w:asciiTheme="minorEastAsia" w:hAnsiTheme="minorEastAsia" w:eastAsiaTheme="minorEastAsia"/>
          <w:b/>
          <w:szCs w:val="21"/>
        </w:rPr>
      </w:pPr>
      <w:r>
        <w:rPr>
          <w:rFonts w:hint="eastAsia" w:cs="Times New Roman" w:asciiTheme="minorEastAsia" w:hAnsiTheme="minorEastAsia" w:eastAsiaTheme="minorEastAsia"/>
          <w:b/>
          <w:kern w:val="2"/>
          <w:sz w:val="21"/>
          <w:szCs w:val="21"/>
          <w:lang w:val="en-US" w:eastAsia="zh-CN" w:bidi="ar-SA"/>
        </w:rPr>
        <w:t>7.</w:t>
      </w:r>
      <w:r>
        <w:rPr>
          <w:rFonts w:hint="eastAsia" w:asciiTheme="minorEastAsia" w:hAnsiTheme="minorEastAsia" w:eastAsiaTheme="minorEastAsia"/>
          <w:b/>
          <w:szCs w:val="21"/>
        </w:rPr>
        <w:t>供应商注册</w:t>
      </w:r>
    </w:p>
    <w:p w14:paraId="13E79158">
      <w:pPr>
        <w:pStyle w:val="48"/>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7.1</w:t>
      </w:r>
      <w:r>
        <w:t>中国电信阳光采购</w:t>
      </w:r>
      <w:r>
        <w:rPr>
          <w:rFonts w:hint="eastAsia"/>
        </w:rPr>
        <w:t>网</w:t>
      </w:r>
      <w:r>
        <w:rPr>
          <w:rFonts w:hint="eastAsia" w:asciiTheme="minorEastAsia" w:hAnsiTheme="minorEastAsia" w:eastAsiaTheme="minorEastAsia"/>
        </w:rPr>
        <w:t>注册</w:t>
      </w:r>
    </w:p>
    <w:p w14:paraId="35BF99F6">
      <w:pPr>
        <w:wordWrap w:val="0"/>
        <w:adjustRightInd w:val="0"/>
        <w:snapToGrid w:val="0"/>
        <w:spacing w:line="440" w:lineRule="exact"/>
        <w:ind w:firstLine="417" w:firstLineChars="199"/>
        <w:rPr>
          <w:rFonts w:asciiTheme="minorEastAsia" w:hAnsiTheme="minorEastAsia" w:eastAsiaTheme="minorEastAsia"/>
        </w:rPr>
      </w:pPr>
      <w:r>
        <w:rPr>
          <w:rFonts w:hint="eastAsia" w:asciiTheme="minorEastAsia" w:hAnsiTheme="minorEastAsia" w:eastAsiaTheme="minorEastAsia"/>
        </w:rPr>
        <w:t>未注册过的潜在供应商，</w:t>
      </w:r>
      <w:r>
        <w:rPr>
          <w:rFonts w:hint="eastAsia" w:ascii="宋体" w:hAnsi="宋体"/>
        </w:rPr>
        <w:t>须</w:t>
      </w:r>
      <w:r>
        <w:rPr>
          <w:rFonts w:hint="eastAsia" w:asciiTheme="minorEastAsia" w:hAnsiTheme="minorEastAsia" w:eastAsiaTheme="minorEastAsia"/>
        </w:rPr>
        <w:t>通过</w:t>
      </w:r>
      <w:r>
        <w:rPr>
          <w:rFonts w:hint="eastAsia" w:asciiTheme="minorEastAsia" w:hAnsiTheme="minorEastAsia" w:eastAsiaTheme="minorEastAsia"/>
          <w:spacing w:val="2"/>
          <w:szCs w:val="21"/>
        </w:rPr>
        <w:t>“中国电信阳光采购网（https://caigou.chinatelecom.com.cn）”</w:t>
      </w:r>
      <w:r>
        <w:rPr>
          <w:rFonts w:hint="eastAsia" w:ascii="宋体" w:hAnsi="宋体"/>
        </w:rPr>
        <w:t>首页“立即注册”模块</w:t>
      </w:r>
      <w:r>
        <w:rPr>
          <w:rFonts w:hint="eastAsia" w:asciiTheme="minorEastAsia" w:hAnsiTheme="minorEastAsia" w:eastAsiaTheme="minorEastAsia"/>
        </w:rPr>
        <w:t>完成注册后，方可申领本项目询比文件。</w:t>
      </w:r>
    </w:p>
    <w:p w14:paraId="128246AA">
      <w:pPr>
        <w:tabs>
          <w:tab w:val="left" w:pos="993"/>
        </w:tabs>
        <w:wordWrap w:val="0"/>
        <w:adjustRightInd w:val="0"/>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7.2 CA证书办理</w:t>
      </w:r>
    </w:p>
    <w:p w14:paraId="2ADDA87F">
      <w:pPr>
        <w:pStyle w:val="48"/>
        <w:wordWrap w:val="0"/>
        <w:adjustRightInd w:val="0"/>
        <w:snapToGrid w:val="0"/>
        <w:spacing w:line="440" w:lineRule="exact"/>
        <w:ind w:firstLine="432" w:firstLineChars="202"/>
        <w:rPr>
          <w:rFonts w:asciiTheme="minorEastAsia" w:hAnsiTheme="minorEastAsia" w:eastAsiaTheme="minorEastAsia"/>
        </w:rPr>
      </w:pPr>
      <w:r>
        <w:rPr>
          <w:rFonts w:hint="eastAsia" w:asciiTheme="minorEastAsia" w:hAnsiTheme="minorEastAsia" w:eastAsiaTheme="minorEastAsia"/>
          <w:spacing w:val="2"/>
          <w:szCs w:val="21"/>
        </w:rPr>
        <w:t>参加询比响应的潜在供应商须提前办理CA证书，并确保CA证书在使用时有效。CA证书办理流程</w:t>
      </w:r>
      <w:r>
        <w:rPr>
          <w:rFonts w:hint="eastAsia" w:asciiTheme="minorEastAsia" w:hAnsiTheme="minorEastAsia" w:eastAsiaTheme="minorEastAsia"/>
          <w:szCs w:val="21"/>
        </w:rPr>
        <w:t>详见</w:t>
      </w:r>
      <w:r>
        <w:rPr>
          <w:rFonts w:hint="eastAsia"/>
        </w:rPr>
        <w:t>中国电信阳光采购网首页</w:t>
      </w:r>
      <w:r>
        <w:rPr>
          <w:rFonts w:hint="eastAsia" w:asciiTheme="minorEastAsia" w:hAnsiTheme="minorEastAsia" w:eastAsiaTheme="minorEastAsia"/>
        </w:rPr>
        <w:t>“操作指引</w:t>
      </w:r>
      <w:r>
        <w:rPr>
          <w:rFonts w:asciiTheme="minorEastAsia" w:hAnsiTheme="minorEastAsia" w:eastAsiaTheme="minorEastAsia"/>
        </w:rPr>
        <w:t>-CA办理</w:t>
      </w:r>
      <w:r>
        <w:rPr>
          <w:rFonts w:hint="eastAsia" w:asciiTheme="minorEastAsia" w:hAnsiTheme="minorEastAsia" w:eastAsiaTheme="minorEastAsia"/>
        </w:rPr>
        <w:t>”。</w:t>
      </w:r>
    </w:p>
    <w:p w14:paraId="1495E795">
      <w:pPr>
        <w:pStyle w:val="48"/>
        <w:tabs>
          <w:tab w:val="left" w:pos="993"/>
        </w:tabs>
        <w:wordWrap w:val="0"/>
        <w:adjustRightInd w:val="0"/>
        <w:snapToGrid w:val="0"/>
        <w:spacing w:line="440" w:lineRule="exact"/>
        <w:ind w:left="426" w:firstLine="0" w:firstLineChars="0"/>
        <w:rPr>
          <w:rFonts w:asciiTheme="minorEastAsia" w:hAnsiTheme="minorEastAsia" w:eastAsiaTheme="minorEastAsia"/>
          <w:spacing w:val="2"/>
          <w:szCs w:val="21"/>
        </w:rPr>
      </w:pPr>
      <w:r>
        <w:rPr>
          <w:rFonts w:hint="eastAsia" w:cs="宋体" w:asciiTheme="minorEastAsia" w:hAnsiTheme="minorEastAsia" w:eastAsiaTheme="minorEastAsia"/>
          <w:kern w:val="0"/>
          <w:szCs w:val="21"/>
        </w:rPr>
        <w:t>7.3</w:t>
      </w:r>
      <w:r>
        <w:rPr>
          <w:rFonts w:cs="宋体" w:asciiTheme="minorEastAsia" w:hAnsiTheme="minorEastAsia" w:eastAsiaTheme="minorEastAsia"/>
          <w:kern w:val="0"/>
          <w:szCs w:val="21"/>
        </w:rPr>
        <w:t>技术支撑联系方式</w:t>
      </w:r>
    </w:p>
    <w:p w14:paraId="55E1F1A1">
      <w:pPr>
        <w:pStyle w:val="48"/>
        <w:wordWrap w:val="0"/>
        <w:adjustRightInd w:val="0"/>
        <w:snapToGrid w:val="0"/>
        <w:spacing w:line="440" w:lineRule="exact"/>
        <w:ind w:left="2" w:firstLine="424" w:firstLineChars="202"/>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服务热线：</w:t>
      </w:r>
      <w:r>
        <w:rPr>
          <w:rFonts w:cs="宋体" w:asciiTheme="minorEastAsia" w:hAnsiTheme="minorEastAsia" w:eastAsiaTheme="minorEastAsia"/>
          <w:kern w:val="0"/>
          <w:szCs w:val="21"/>
        </w:rPr>
        <w:t>010-56107929 /010-5610788</w:t>
      </w:r>
      <w:r>
        <w:rPr>
          <w:rFonts w:hint="eastAsia" w:cs="宋体" w:asciiTheme="minorEastAsia" w:hAnsiTheme="minorEastAsia" w:eastAsiaTheme="minorEastAsia"/>
          <w:kern w:val="0"/>
          <w:szCs w:val="21"/>
        </w:rPr>
        <w:t>0</w:t>
      </w:r>
    </w:p>
    <w:p w14:paraId="57FF97A9">
      <w:pPr>
        <w:pStyle w:val="48"/>
        <w:snapToGrid w:val="0"/>
        <w:spacing w:line="440" w:lineRule="exac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服务邮箱：</w:t>
      </w:r>
      <w:r>
        <w:rPr>
          <w:rFonts w:cs="宋体" w:asciiTheme="minorEastAsia" w:hAnsiTheme="minorEastAsia" w:eastAsiaTheme="minorEastAsia"/>
          <w:kern w:val="0"/>
          <w:szCs w:val="21"/>
        </w:rPr>
        <w:t>zb_support@chinatelecom.cn</w:t>
      </w:r>
      <w:r>
        <w:rPr>
          <w:rFonts w:hint="eastAsia" w:cs="宋体" w:asciiTheme="minorEastAsia" w:hAnsiTheme="minorEastAsia" w:eastAsiaTheme="minorEastAsia"/>
          <w:kern w:val="0"/>
          <w:szCs w:val="21"/>
        </w:rPr>
        <w:t>（电子采购系统技术支撑）</w:t>
      </w:r>
    </w:p>
    <w:p w14:paraId="70E9D31C">
      <w:pPr>
        <w:pStyle w:val="48"/>
        <w:wordWrap w:val="0"/>
        <w:snapToGrid w:val="0"/>
        <w:spacing w:line="440" w:lineRule="exact"/>
        <w:ind w:left="2" w:firstLine="1415" w:firstLineChars="674"/>
        <w:rPr>
          <w:rFonts w:hint="eastAsia" w:cs="宋体" w:asciiTheme="minorEastAsia" w:hAnsiTheme="minorEastAsia" w:eastAsiaTheme="minorEastAsia"/>
          <w:kern w:val="0"/>
          <w:szCs w:val="21"/>
        </w:rPr>
      </w:pPr>
      <w:r>
        <w:rPr>
          <w:rFonts w:hint="eastAsia" w:cs="宋体" w:asciiTheme="minorEastAsia" w:hAnsiTheme="minorEastAsia" w:eastAsiaTheme="minorEastAsia"/>
          <w:kern w:val="0"/>
          <w:szCs w:val="21"/>
        </w:rPr>
        <w:t>ctsc@chinatelecom.cn（CA证书办理技术支撑）</w:t>
      </w:r>
    </w:p>
    <w:p w14:paraId="5AB762D1">
      <w:pPr>
        <w:pStyle w:val="48"/>
        <w:numPr>
          <w:ilvl w:val="0"/>
          <w:numId w:val="6"/>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发布公告的媒介</w:t>
      </w:r>
    </w:p>
    <w:p w14:paraId="4856D2F4">
      <w:pPr>
        <w:pStyle w:val="48"/>
        <w:wordWrap w:val="0"/>
        <w:adjustRightInd w:val="0"/>
        <w:snapToGrid w:val="0"/>
        <w:spacing w:line="440" w:lineRule="exact"/>
        <w:rPr>
          <w:rFonts w:hint="eastAsia" w:asciiTheme="minorEastAsia" w:hAnsiTheme="minorEastAsia" w:eastAsiaTheme="minorEastAsia"/>
          <w:szCs w:val="21"/>
        </w:rPr>
      </w:pPr>
      <w:r>
        <w:rPr>
          <w:rFonts w:hint="eastAsia" w:asciiTheme="minorEastAsia" w:hAnsiTheme="minorEastAsia" w:eastAsiaTheme="minorEastAsia"/>
          <w:szCs w:val="21"/>
        </w:rPr>
        <w:t>本询比公告在</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中国招标投标公共服务平台（http://www.cebpubservice.com/）</w:t>
      </w:r>
      <w:r>
        <w:rPr>
          <w:rFonts w:hint="eastAsia" w:asciiTheme="minorEastAsia" w:hAnsiTheme="minorEastAsia" w:eastAsiaTheme="minorEastAsia"/>
          <w:szCs w:val="21"/>
        </w:rPr>
        <w:t>上发布，其他媒介转载无效。</w:t>
      </w:r>
    </w:p>
    <w:p w14:paraId="45E7AB1D">
      <w:pPr>
        <w:pStyle w:val="48"/>
        <w:numPr>
          <w:ilvl w:val="0"/>
          <w:numId w:val="6"/>
        </w:numPr>
        <w:adjustRightInd w:val="0"/>
        <w:snapToGrid w:val="0"/>
        <w:spacing w:line="440" w:lineRule="exact"/>
        <w:ind w:firstLineChars="0"/>
        <w:rPr>
          <w:rFonts w:hint="eastAsia" w:asciiTheme="minorEastAsia" w:hAnsiTheme="minorEastAsia" w:eastAsiaTheme="minorEastAsia"/>
          <w:b/>
          <w:szCs w:val="21"/>
        </w:rPr>
      </w:pPr>
      <w:r>
        <w:rPr>
          <w:rFonts w:hint="eastAsia" w:asciiTheme="minorEastAsia" w:hAnsiTheme="minorEastAsia" w:eastAsiaTheme="minorEastAsia"/>
          <w:b/>
          <w:szCs w:val="21"/>
        </w:rPr>
        <w:t>联系及异议接收方式</w:t>
      </w:r>
    </w:p>
    <w:p w14:paraId="639C5485">
      <w:pPr>
        <w:pStyle w:val="48"/>
        <w:spacing w:line="400" w:lineRule="exact"/>
        <w:ind w:left="425" w:firstLine="0" w:firstLineChars="0"/>
        <w:rPr>
          <w:rFonts w:hint="eastAsia" w:asciiTheme="minorEastAsia" w:hAnsiTheme="minorEastAsia" w:eastAsiaTheme="minorEastAsia"/>
        </w:rPr>
      </w:pPr>
      <w:r>
        <w:rPr>
          <w:rFonts w:hint="eastAsia" w:asciiTheme="minorEastAsia" w:hAnsiTheme="minorEastAsia" w:eastAsiaTheme="minorEastAsia"/>
        </w:rPr>
        <w:t>9.1联系方式</w:t>
      </w:r>
    </w:p>
    <w:p w14:paraId="7E971EA2">
      <w:pPr>
        <w:snapToGrid w:val="0"/>
        <w:spacing w:line="340" w:lineRule="exact"/>
        <w:ind w:right="804" w:firstLine="420" w:firstLineChars="200"/>
        <w:rPr>
          <w:rFonts w:ascii="宋体" w:hAnsi="宋体" w:cs="宋体"/>
          <w:szCs w:val="21"/>
        </w:rPr>
      </w:pPr>
      <w:r>
        <w:rPr>
          <w:rFonts w:hint="eastAsia" w:ascii="宋体" w:hAnsi="宋体" w:cs="宋体"/>
          <w:szCs w:val="21"/>
          <w:lang w:val="en-US" w:eastAsia="zh-CN"/>
        </w:rPr>
        <w:t>采  购</w:t>
      </w:r>
      <w:r>
        <w:rPr>
          <w:rFonts w:ascii="宋体" w:hAnsi="宋体" w:cs="宋体"/>
          <w:szCs w:val="21"/>
        </w:rPr>
        <w:t xml:space="preserve"> </w:t>
      </w:r>
      <w:r>
        <w:rPr>
          <w:rFonts w:hint="eastAsia" w:ascii="宋体" w:hAnsi="宋体" w:cs="宋体"/>
          <w:szCs w:val="21"/>
        </w:rPr>
        <w:t>人：中国电信股份有限公司遵义分公司</w:t>
      </w:r>
    </w:p>
    <w:p w14:paraId="1A772FDE">
      <w:pPr>
        <w:pStyle w:val="91"/>
        <w:spacing w:line="400" w:lineRule="exact"/>
        <w:ind w:left="425" w:firstLine="0" w:firstLineChars="0"/>
        <w:rPr>
          <w:rFonts w:ascii="宋体"/>
          <w:sz w:val="21"/>
          <w:szCs w:val="21"/>
        </w:rPr>
      </w:pPr>
      <w:r>
        <w:rPr>
          <w:rFonts w:hint="eastAsia" w:ascii="宋体" w:hAnsi="宋体" w:cs="宋体"/>
          <w:kern w:val="2"/>
          <w:sz w:val="21"/>
          <w:szCs w:val="21"/>
        </w:rPr>
        <w:t>地</w:t>
      </w:r>
      <w:r>
        <w:rPr>
          <w:rFonts w:ascii="宋体" w:hAnsi="宋体" w:cs="宋体"/>
          <w:kern w:val="2"/>
          <w:sz w:val="21"/>
          <w:szCs w:val="21"/>
        </w:rPr>
        <w:t xml:space="preserve">    </w:t>
      </w:r>
      <w:r>
        <w:rPr>
          <w:rFonts w:hint="eastAsia" w:ascii="宋体" w:hAnsi="宋体" w:cs="宋体"/>
          <w:kern w:val="2"/>
          <w:sz w:val="21"/>
          <w:szCs w:val="21"/>
        </w:rPr>
        <w:t xml:space="preserve">址：遵义市红花岗区大兴路249号 </w:t>
      </w:r>
      <w:r>
        <w:rPr>
          <w:rFonts w:ascii="宋体" w:hAnsi="宋体" w:cs="宋体"/>
          <w:kern w:val="2"/>
          <w:sz w:val="21"/>
          <w:szCs w:val="21"/>
        </w:rPr>
        <w:t xml:space="preserve"> </w:t>
      </w:r>
      <w:r>
        <w:rPr>
          <w:rFonts w:ascii="宋体" w:hAnsi="宋体" w:cs="宋体"/>
          <w:sz w:val="21"/>
          <w:szCs w:val="21"/>
        </w:rPr>
        <w:t xml:space="preserve">     </w:t>
      </w:r>
    </w:p>
    <w:p w14:paraId="250A7FF7">
      <w:pPr>
        <w:spacing w:line="400" w:lineRule="exact"/>
        <w:ind w:firstLine="420" w:firstLineChars="200"/>
        <w:rPr>
          <w:rFonts w:ascii="宋体" w:hAnsi="宋体"/>
        </w:rPr>
      </w:pPr>
      <w:r>
        <w:rPr>
          <w:rFonts w:hint="eastAsia" w:ascii="宋体" w:hAnsi="宋体"/>
        </w:rPr>
        <w:t xml:space="preserve">邮 </w:t>
      </w:r>
      <w:r>
        <w:rPr>
          <w:rFonts w:ascii="宋体" w:hAnsi="宋体"/>
        </w:rPr>
        <w:t xml:space="preserve">  </w:t>
      </w:r>
      <w:r>
        <w:rPr>
          <w:rFonts w:hint="eastAsia" w:ascii="宋体" w:hAnsi="宋体"/>
        </w:rPr>
        <w:t xml:space="preserve"> 编：</w:t>
      </w:r>
      <w:r>
        <w:rPr>
          <w:rFonts w:hint="eastAsia" w:ascii="宋体" w:hAnsi="宋体"/>
          <w:color w:val="000000"/>
          <w:szCs w:val="21"/>
        </w:rPr>
        <w:t>563000</w:t>
      </w:r>
      <w:r>
        <w:rPr>
          <w:rFonts w:ascii="宋体" w:hAnsi="宋体"/>
        </w:rPr>
        <w:t xml:space="preserve">  </w:t>
      </w:r>
    </w:p>
    <w:p w14:paraId="2A537787">
      <w:pPr>
        <w:spacing w:line="400" w:lineRule="exact"/>
        <w:ind w:firstLine="420" w:firstLineChars="200"/>
        <w:rPr>
          <w:rFonts w:ascii="宋体" w:hAnsi="宋体"/>
        </w:rPr>
      </w:pPr>
      <w:r>
        <w:rPr>
          <w:rFonts w:hint="eastAsia" w:ascii="宋体" w:hAnsi="宋体"/>
        </w:rPr>
        <w:t>联 系 人：</w:t>
      </w:r>
      <w:r>
        <w:rPr>
          <w:rFonts w:hint="eastAsia" w:ascii="宋体" w:hAnsi="宋体"/>
          <w:lang w:val="en-US" w:eastAsia="zh-CN"/>
        </w:rPr>
        <w:t>张</w:t>
      </w:r>
      <w:r>
        <w:rPr>
          <w:rFonts w:hint="eastAsia" w:ascii="宋体" w:hAnsi="宋体"/>
        </w:rPr>
        <w:t xml:space="preserve">老师 </w:t>
      </w:r>
    </w:p>
    <w:p w14:paraId="176AFBB4">
      <w:pPr>
        <w:spacing w:line="400" w:lineRule="exact"/>
        <w:ind w:left="425"/>
        <w:rPr>
          <w:rFonts w:hint="eastAsia" w:ascii="宋体" w:hAnsi="宋体"/>
          <w:lang w:val="en-US" w:eastAsia="zh-CN"/>
        </w:rPr>
      </w:pPr>
      <w:r>
        <w:rPr>
          <w:rFonts w:hint="eastAsia" w:ascii="宋体" w:hAnsi="宋体"/>
        </w:rPr>
        <w:t>电    话：</w:t>
      </w:r>
      <w:r>
        <w:rPr>
          <w:rFonts w:hint="eastAsia" w:ascii="宋体" w:hAnsi="宋体"/>
          <w:lang w:val="en-US" w:eastAsia="zh-CN"/>
        </w:rPr>
        <w:t>18985206669</w:t>
      </w:r>
    </w:p>
    <w:p w14:paraId="0F0100AE">
      <w:pPr>
        <w:spacing w:line="400" w:lineRule="exact"/>
        <w:ind w:left="425"/>
        <w:rPr>
          <w:rFonts w:ascii="宋体"/>
        </w:rPr>
      </w:pPr>
      <w:r>
        <w:rPr>
          <w:rFonts w:hint="eastAsia" w:ascii="宋体" w:hAnsi="宋体" w:cs="宋体"/>
          <w:lang w:val="en-US" w:eastAsia="zh-CN"/>
        </w:rPr>
        <w:t>采购</w:t>
      </w:r>
      <w:r>
        <w:rPr>
          <w:rFonts w:hint="eastAsia" w:ascii="宋体" w:hAnsi="宋体" w:cs="宋体"/>
        </w:rPr>
        <w:t>代理机构：中通服供应链股份有限公司贵州分公司</w:t>
      </w:r>
    </w:p>
    <w:p w14:paraId="562937A6">
      <w:pPr>
        <w:spacing w:line="400" w:lineRule="exact"/>
        <w:ind w:left="425"/>
        <w:rPr>
          <w:rFonts w:ascii="宋体"/>
        </w:rPr>
      </w:pPr>
      <w:r>
        <w:rPr>
          <w:rFonts w:hint="eastAsia" w:ascii="宋体" w:hAnsi="宋体" w:cs="宋体"/>
        </w:rPr>
        <w:t>地</w:t>
      </w:r>
      <w:r>
        <w:rPr>
          <w:rFonts w:ascii="宋体" w:hAnsi="宋体" w:cs="宋体"/>
        </w:rPr>
        <w:t xml:space="preserve">    </w:t>
      </w:r>
      <w:r>
        <w:rPr>
          <w:rFonts w:hint="eastAsia" w:ascii="宋体" w:hAnsi="宋体" w:cs="宋体"/>
        </w:rPr>
        <w:t>址：贵州省贵阳市金阳北路</w:t>
      </w:r>
      <w:r>
        <w:rPr>
          <w:rFonts w:ascii="宋体" w:hAnsi="宋体" w:cs="宋体"/>
        </w:rPr>
        <w:t>27</w:t>
      </w:r>
      <w:r>
        <w:rPr>
          <w:rFonts w:hint="eastAsia" w:ascii="宋体" w:hAnsi="宋体" w:cs="宋体"/>
        </w:rPr>
        <w:t>号麒龙贵州塔</w:t>
      </w:r>
      <w:r>
        <w:rPr>
          <w:rFonts w:ascii="宋体" w:hAnsi="宋体" w:cs="宋体"/>
        </w:rPr>
        <w:t>16</w:t>
      </w:r>
      <w:r>
        <w:rPr>
          <w:rFonts w:hint="eastAsia" w:ascii="宋体" w:hAnsi="宋体" w:cs="宋体"/>
        </w:rPr>
        <w:t>楼</w:t>
      </w:r>
    </w:p>
    <w:p w14:paraId="458D274C">
      <w:pPr>
        <w:spacing w:line="400" w:lineRule="exact"/>
        <w:ind w:left="425"/>
        <w:rPr>
          <w:rFonts w:ascii="宋体"/>
        </w:rPr>
      </w:pPr>
      <w:r>
        <w:rPr>
          <w:rFonts w:hint="eastAsia" w:ascii="宋体" w:hAnsi="宋体" w:cs="宋体"/>
        </w:rPr>
        <w:t>邮</w:t>
      </w:r>
      <w:r>
        <w:rPr>
          <w:rFonts w:ascii="宋体" w:hAnsi="宋体" w:cs="宋体"/>
        </w:rPr>
        <w:t xml:space="preserve">    </w:t>
      </w:r>
      <w:r>
        <w:rPr>
          <w:rFonts w:hint="eastAsia" w:ascii="宋体" w:hAnsi="宋体" w:cs="宋体"/>
        </w:rPr>
        <w:t>编：</w:t>
      </w:r>
      <w:r>
        <w:rPr>
          <w:rFonts w:ascii="宋体" w:hAnsi="宋体" w:cs="宋体"/>
        </w:rPr>
        <w:t>550081</w:t>
      </w:r>
    </w:p>
    <w:p w14:paraId="1BC67E4B">
      <w:pPr>
        <w:spacing w:line="360" w:lineRule="auto"/>
        <w:ind w:firstLine="420" w:firstLineChars="200"/>
        <w:rPr>
          <w:rFonts w:ascii="宋体" w:hAnsi="宋体" w:cs="宋体"/>
        </w:rPr>
      </w:pPr>
      <w:r>
        <w:rPr>
          <w:rFonts w:hint="eastAsia" w:ascii="宋体" w:hAnsi="宋体" w:cs="宋体"/>
        </w:rPr>
        <w:t>项目总负责人：杨孟雨</w:t>
      </w:r>
    </w:p>
    <w:p w14:paraId="4B6C2F2A">
      <w:pPr>
        <w:spacing w:line="360" w:lineRule="auto"/>
        <w:ind w:firstLine="420" w:firstLineChars="200"/>
        <w:rPr>
          <w:rFonts w:ascii="宋体" w:hAnsi="宋体" w:cs="宋体"/>
        </w:rPr>
      </w:pPr>
      <w:r>
        <w:rPr>
          <w:rFonts w:hint="eastAsia" w:ascii="宋体" w:hAnsi="宋体" w:cs="宋体"/>
        </w:rPr>
        <w:t>项目联系人：张鹏</w:t>
      </w:r>
    </w:p>
    <w:p w14:paraId="43C552A5">
      <w:pPr>
        <w:spacing w:line="360" w:lineRule="auto"/>
        <w:ind w:firstLine="420" w:firstLineChars="200"/>
        <w:rPr>
          <w:rFonts w:ascii="宋体" w:hAnsi="宋体" w:cs="宋体"/>
        </w:rPr>
      </w:pPr>
      <w:r>
        <w:rPr>
          <w:rFonts w:hint="eastAsia" w:ascii="宋体" w:hAnsi="宋体" w:cs="宋体"/>
        </w:rPr>
        <w:t xml:space="preserve">报名联系人：杨学琴  18984903330 </w:t>
      </w:r>
    </w:p>
    <w:p w14:paraId="15294DC3">
      <w:pPr>
        <w:pStyle w:val="48"/>
        <w:spacing w:line="400" w:lineRule="exact"/>
        <w:ind w:firstLine="424" w:firstLineChars="202"/>
        <w:rPr>
          <w:rFonts w:ascii="宋体" w:hAnsi="宋体" w:cs="宋体"/>
        </w:rPr>
      </w:pPr>
      <w:r>
        <w:rPr>
          <w:rFonts w:hint="eastAsia" w:ascii="宋体" w:hAnsi="宋体" w:cs="宋体"/>
        </w:rPr>
        <w:t>联系邮箱：2116573176</w:t>
      </w:r>
      <w:r>
        <w:rPr>
          <w:rFonts w:ascii="宋体" w:hAnsi="宋体" w:cs="宋体"/>
        </w:rPr>
        <w:t xml:space="preserve">@qq.com </w:t>
      </w:r>
    </w:p>
    <w:p w14:paraId="0F187D45">
      <w:pPr>
        <w:pStyle w:val="48"/>
        <w:spacing w:line="400" w:lineRule="exact"/>
        <w:ind w:firstLine="424" w:firstLineChars="202"/>
        <w:rPr>
          <w:rFonts w:hint="eastAsia" w:asciiTheme="minorEastAsia" w:hAnsiTheme="minorEastAsia" w:eastAsiaTheme="minorEastAsia"/>
        </w:rPr>
      </w:pPr>
      <w:r>
        <w:rPr>
          <w:rFonts w:hint="eastAsia" w:asciiTheme="minorEastAsia" w:hAnsiTheme="minorEastAsia" w:eastAsiaTheme="minorEastAsia"/>
        </w:rPr>
        <w:t>9.2异议接收方式</w:t>
      </w:r>
    </w:p>
    <w:p w14:paraId="104B83FD">
      <w:pPr>
        <w:pStyle w:val="48"/>
        <w:wordWrap w:val="0"/>
        <w:spacing w:line="400" w:lineRule="exact"/>
        <w:ind w:firstLine="424" w:firstLineChars="202"/>
        <w:rPr>
          <w:rFonts w:hint="eastAsia" w:asciiTheme="minorEastAsia" w:hAnsiTheme="minorEastAsia" w:eastAsiaTheme="minorEastAsia"/>
        </w:rPr>
      </w:pPr>
      <w:r>
        <w:rPr>
          <w:rFonts w:hint="eastAsia" w:asciiTheme="minorEastAsia" w:hAnsiTheme="minorEastAsia" w:eastAsiaTheme="minorEastAsia"/>
        </w:rPr>
        <w:t>【登录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w:t>
      </w:r>
    </w:p>
    <w:p w14:paraId="3C134240">
      <w:pPr>
        <w:widowControl/>
        <w:jc w:val="right"/>
        <w:rPr>
          <w:rFonts w:hint="eastAsia" w:ascii="宋体" w:hAnsi="宋体"/>
          <w:szCs w:val="21"/>
        </w:rPr>
      </w:pPr>
      <w:r>
        <w:rPr>
          <w:rFonts w:hint="eastAsia" w:ascii="宋体" w:hAnsi="宋体"/>
          <w:szCs w:val="21"/>
        </w:rPr>
        <w:t>采购人：中国电信股份有限公司</w:t>
      </w:r>
      <w:r>
        <w:rPr>
          <w:rFonts w:hint="eastAsia" w:ascii="宋体" w:hAnsi="宋体"/>
          <w:szCs w:val="21"/>
          <w:lang w:val="en-US" w:eastAsia="zh-CN"/>
        </w:rPr>
        <w:t>遵义</w:t>
      </w:r>
      <w:r>
        <w:rPr>
          <w:rFonts w:hint="eastAsia" w:ascii="宋体" w:hAnsi="宋体"/>
          <w:szCs w:val="21"/>
        </w:rPr>
        <w:t>分公司</w:t>
      </w:r>
    </w:p>
    <w:p w14:paraId="49E153B6">
      <w:pPr>
        <w:widowControl/>
        <w:jc w:val="right"/>
        <w:rPr>
          <w:rFonts w:hint="eastAsia" w:ascii="宋体" w:hAnsi="宋体"/>
          <w:szCs w:val="21"/>
        </w:rPr>
      </w:pPr>
      <w:r>
        <w:rPr>
          <w:rFonts w:hint="eastAsia" w:ascii="宋体" w:hAnsi="宋体"/>
          <w:szCs w:val="21"/>
        </w:rPr>
        <w:t>采购代理机构：中通服供应链股份有限公司贵州分公司</w:t>
      </w:r>
    </w:p>
    <w:p w14:paraId="39FFF2EE">
      <w:pPr>
        <w:snapToGrid w:val="0"/>
        <w:spacing w:line="360" w:lineRule="exact"/>
        <w:jc w:val="right"/>
        <w:rPr>
          <w:rFonts w:hint="eastAsia" w:asciiTheme="minorEastAsia" w:hAnsiTheme="minorEastAsia" w:eastAsiaTheme="minorEastAsia"/>
          <w:highlight w:val="none"/>
        </w:rPr>
        <w:sectPr>
          <w:footerReference r:id="rId6"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szCs w:val="21"/>
          <w:highlight w:val="none"/>
        </w:rPr>
        <w:t>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11</w:t>
      </w:r>
      <w:r>
        <w:rPr>
          <w:rFonts w:hint="eastAsia" w:ascii="宋体" w:hAnsi="宋体"/>
          <w:szCs w:val="21"/>
          <w:highlight w:val="none"/>
        </w:rPr>
        <w:t>日</w:t>
      </w:r>
    </w:p>
    <w:p w14:paraId="34E9FCE0">
      <w:pPr>
        <w:pStyle w:val="47"/>
        <w:snapToGrid w:val="0"/>
        <w:spacing w:before="120" w:after="120"/>
        <w:rPr>
          <w:rFonts w:hint="eastAsia" w:cs="宋体" w:asciiTheme="minorEastAsia" w:hAnsiTheme="minorEastAsia" w:eastAsiaTheme="minorEastAsia"/>
          <w:b/>
          <w:bCs w:val="0"/>
          <w:kern w:val="0"/>
          <w:sz w:val="28"/>
          <w:szCs w:val="28"/>
        </w:rPr>
      </w:pPr>
      <w:bookmarkStart w:id="26" w:name="_Toc14275"/>
      <w:bookmarkStart w:id="27" w:name="_Toc25182"/>
      <w:bookmarkStart w:id="28" w:name="_Toc11454"/>
      <w:bookmarkStart w:id="29" w:name="_Toc32494"/>
      <w:bookmarkStart w:id="30" w:name="_Toc15452"/>
      <w:bookmarkStart w:id="31" w:name="_Toc12577"/>
      <w:bookmarkStart w:id="32" w:name="_Toc13777"/>
      <w:bookmarkStart w:id="33" w:name="_Toc447265214"/>
      <w:bookmarkStart w:id="34" w:name="_Toc7401"/>
      <w:bookmarkStart w:id="35" w:name="_Toc13872"/>
      <w:bookmarkStart w:id="36" w:name="_Toc5800"/>
      <w:bookmarkStart w:id="37" w:name="_Toc5542"/>
      <w:bookmarkStart w:id="38" w:name="_Toc17145"/>
      <w:bookmarkStart w:id="39" w:name="_Toc447188665"/>
      <w:bookmarkStart w:id="40" w:name="_Toc19468"/>
      <w:bookmarkStart w:id="41" w:name="_Toc1190"/>
      <w:bookmarkStart w:id="42" w:name="_Toc447265500"/>
      <w:r>
        <w:rPr>
          <w:rFonts w:hint="eastAsia" w:cs="宋体" w:asciiTheme="minorEastAsia" w:hAnsiTheme="minorEastAsia" w:eastAsiaTheme="minorEastAsia"/>
          <w:b/>
          <w:bCs w:val="0"/>
          <w:kern w:val="0"/>
          <w:sz w:val="28"/>
          <w:szCs w:val="28"/>
        </w:rPr>
        <w:t>第二章</w:t>
      </w:r>
      <w:r>
        <w:rPr>
          <w:rFonts w:cs="宋体" w:asciiTheme="minorEastAsia" w:hAnsiTheme="minorEastAsia" w:eastAsiaTheme="minorEastAsia"/>
          <w:b/>
          <w:bCs w:val="0"/>
          <w:kern w:val="0"/>
          <w:sz w:val="28"/>
          <w:szCs w:val="28"/>
        </w:rPr>
        <w:t xml:space="preserve">  </w:t>
      </w:r>
      <w:r>
        <w:rPr>
          <w:rFonts w:hint="eastAsia" w:cs="宋体" w:asciiTheme="minorEastAsia" w:hAnsiTheme="minorEastAsia" w:eastAsiaTheme="minorEastAsia"/>
          <w:b/>
          <w:bCs w:val="0"/>
          <w:kern w:val="0"/>
          <w:sz w:val="28"/>
          <w:szCs w:val="28"/>
        </w:rPr>
        <w:t>供应商须知</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F96E7A2">
      <w:pPr>
        <w:pStyle w:val="3"/>
        <w:snapToGrid w:val="0"/>
        <w:spacing w:before="0" w:after="0" w:line="360" w:lineRule="exact"/>
        <w:jc w:val="center"/>
        <w:rPr>
          <w:rFonts w:hint="eastAsia" w:cs="宋体" w:asciiTheme="minorEastAsia" w:hAnsiTheme="minorEastAsia" w:eastAsiaTheme="minorEastAsia"/>
          <w:sz w:val="21"/>
          <w:szCs w:val="21"/>
        </w:rPr>
      </w:pPr>
      <w:bookmarkStart w:id="43" w:name="_Toc25282"/>
      <w:bookmarkStart w:id="44" w:name="_Toc1886"/>
      <w:bookmarkStart w:id="45" w:name="_Toc227057884"/>
      <w:bookmarkStart w:id="46" w:name="_Toc9916"/>
      <w:bookmarkStart w:id="47" w:name="_Toc30451"/>
      <w:bookmarkStart w:id="48" w:name="_Toc31587"/>
      <w:bookmarkStart w:id="49" w:name="_Toc447265215"/>
      <w:bookmarkStart w:id="50" w:name="_Toc9781"/>
      <w:bookmarkStart w:id="51" w:name="_Toc7317"/>
      <w:bookmarkStart w:id="52" w:name="_Toc30298"/>
      <w:bookmarkStart w:id="53" w:name="_Toc226969277"/>
      <w:bookmarkStart w:id="54" w:name="_Toc23130"/>
      <w:bookmarkStart w:id="55" w:name="_Toc11163"/>
      <w:bookmarkStart w:id="56" w:name="_Toc32351"/>
      <w:bookmarkStart w:id="57" w:name="_Toc447188666"/>
      <w:bookmarkStart w:id="58" w:name="_Toc16604"/>
      <w:bookmarkStart w:id="59" w:name="_Toc447265501"/>
      <w:bookmarkStart w:id="60" w:name="_Toc15384"/>
      <w:bookmarkStart w:id="61" w:name="_Toc25640"/>
      <w:bookmarkStart w:id="62" w:name="_Toc23196"/>
      <w:r>
        <w:rPr>
          <w:rFonts w:hint="eastAsia" w:cs="宋体" w:asciiTheme="minorEastAsia" w:hAnsiTheme="minorEastAsia" w:eastAsiaTheme="minorEastAsia"/>
          <w:sz w:val="21"/>
          <w:szCs w:val="21"/>
        </w:rPr>
        <w:t>供应商须知前附表</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73B338CC">
      <w:pPr>
        <w:autoSpaceDE w:val="0"/>
        <w:autoSpaceDN w:val="0"/>
        <w:snapToGrid w:val="0"/>
        <w:spacing w:line="360" w:lineRule="exact"/>
        <w:ind w:firstLine="420" w:firstLineChars="200"/>
        <w:rPr>
          <w:rFonts w:hint="eastAsia" w:cs="宋体" w:asciiTheme="minorEastAsia" w:hAnsiTheme="minorEastAsia" w:eastAsiaTheme="minorEastAsia"/>
          <w:b/>
        </w:rPr>
      </w:pPr>
      <w:r>
        <w:rPr>
          <w:rFonts w:hint="eastAsia" w:cs="宋体" w:asciiTheme="minorEastAsia" w:hAnsiTheme="minorEastAsia" w:eastAsiaTheme="minorEastAsia"/>
          <w:b/>
          <w:szCs w:val="21"/>
        </w:rPr>
        <w:t>本须知前附表是对供应商须知正文的具体补充和修改，如有矛盾，以本前附表为准。</w:t>
      </w:r>
    </w:p>
    <w:tbl>
      <w:tblPr>
        <w:tblStyle w:val="39"/>
        <w:tblW w:w="8537" w:type="dxa"/>
        <w:tblInd w:w="28"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840"/>
        <w:gridCol w:w="1844"/>
        <w:gridCol w:w="5853"/>
      </w:tblGrid>
      <w:tr w14:paraId="238C7F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27" w:hRule="atLeast"/>
          <w:tblHeader/>
        </w:trPr>
        <w:tc>
          <w:tcPr>
            <w:tcW w:w="840" w:type="dxa"/>
            <w:vAlign w:val="center"/>
          </w:tcPr>
          <w:p w14:paraId="3D27BD71">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条款号</w:t>
            </w:r>
          </w:p>
        </w:tc>
        <w:tc>
          <w:tcPr>
            <w:tcW w:w="1844" w:type="dxa"/>
            <w:vAlign w:val="center"/>
          </w:tcPr>
          <w:p w14:paraId="389B6B7C">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条款名称</w:t>
            </w:r>
          </w:p>
        </w:tc>
        <w:tc>
          <w:tcPr>
            <w:tcW w:w="5853" w:type="dxa"/>
            <w:vAlign w:val="center"/>
          </w:tcPr>
          <w:p w14:paraId="3D774485">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编列内容</w:t>
            </w:r>
          </w:p>
        </w:tc>
      </w:tr>
      <w:tr w14:paraId="5D94FFD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FFC96C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r>
              <w:rPr>
                <w:rFonts w:hint="eastAsia" w:cs="宋体" w:asciiTheme="minorEastAsia" w:hAnsiTheme="minorEastAsia" w:eastAsiaTheme="minorEastAsia"/>
                <w:szCs w:val="21"/>
              </w:rPr>
              <w:t>2</w:t>
            </w:r>
          </w:p>
        </w:tc>
        <w:tc>
          <w:tcPr>
            <w:tcW w:w="1844" w:type="dxa"/>
            <w:vAlign w:val="center"/>
          </w:tcPr>
          <w:p w14:paraId="7830EFA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采购人</w:t>
            </w:r>
          </w:p>
        </w:tc>
        <w:tc>
          <w:tcPr>
            <w:tcW w:w="5853" w:type="dxa"/>
            <w:vAlign w:val="center"/>
          </w:tcPr>
          <w:p w14:paraId="1F49FBF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位名称：中国电信股份有限公司遵义分公司</w:t>
            </w:r>
          </w:p>
          <w:p w14:paraId="5053D34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 系 人：</w:t>
            </w:r>
            <w:r>
              <w:rPr>
                <w:rFonts w:hint="eastAsia" w:asciiTheme="minorEastAsia" w:hAnsiTheme="minorEastAsia" w:eastAsiaTheme="minorEastAsia" w:cstheme="minorEastAsia"/>
                <w:szCs w:val="21"/>
                <w:lang w:val="en-US" w:eastAsia="zh-CN"/>
              </w:rPr>
              <w:t>张</w:t>
            </w:r>
            <w:r>
              <w:rPr>
                <w:rFonts w:hint="eastAsia" w:asciiTheme="minorEastAsia" w:hAnsiTheme="minorEastAsia" w:eastAsiaTheme="minorEastAsia" w:cstheme="minorEastAsia"/>
                <w:szCs w:val="21"/>
              </w:rPr>
              <w:t>老师</w:t>
            </w:r>
          </w:p>
          <w:p w14:paraId="49849B79">
            <w:pPr>
              <w:autoSpaceDE w:val="0"/>
              <w:autoSpaceDN w:val="0"/>
              <w:rPr>
                <w:rFonts w:hint="default" w:cs="宋体" w:asciiTheme="minorEastAsia" w:hAnsiTheme="minorEastAsia" w:eastAsiaTheme="minorEastAsia"/>
                <w:szCs w:val="21"/>
                <w:lang w:val="en-US" w:eastAsia="zh-CN"/>
              </w:rPr>
            </w:pPr>
            <w:r>
              <w:rPr>
                <w:rFonts w:hint="eastAsia" w:asciiTheme="minorEastAsia" w:hAnsiTheme="minorEastAsia" w:eastAsiaTheme="minorEastAsia" w:cstheme="minorEastAsia"/>
                <w:szCs w:val="21"/>
              </w:rPr>
              <w:t>电    话：</w:t>
            </w:r>
            <w:r>
              <w:rPr>
                <w:rFonts w:hint="eastAsia" w:asciiTheme="minorEastAsia" w:hAnsiTheme="minorEastAsia" w:eastAsiaTheme="minorEastAsia" w:cstheme="minorEastAsia"/>
                <w:szCs w:val="21"/>
                <w:lang w:val="en-US" w:eastAsia="zh-CN"/>
              </w:rPr>
              <w:t>18985206669</w:t>
            </w:r>
          </w:p>
        </w:tc>
      </w:tr>
      <w:tr w14:paraId="7F7529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28026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r>
              <w:rPr>
                <w:rFonts w:cs="宋体" w:asciiTheme="minorEastAsia" w:hAnsiTheme="minorEastAsia" w:eastAsiaTheme="minorEastAsia"/>
                <w:szCs w:val="21"/>
              </w:rPr>
              <w:t>.1.</w:t>
            </w:r>
            <w:r>
              <w:rPr>
                <w:rFonts w:hint="eastAsia" w:cs="宋体" w:asciiTheme="minorEastAsia" w:hAnsiTheme="minorEastAsia" w:eastAsiaTheme="minorEastAsia"/>
                <w:szCs w:val="21"/>
              </w:rPr>
              <w:t>3</w:t>
            </w:r>
          </w:p>
        </w:tc>
        <w:tc>
          <w:tcPr>
            <w:tcW w:w="1844" w:type="dxa"/>
            <w:vAlign w:val="center"/>
          </w:tcPr>
          <w:p w14:paraId="71F1B3D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项目名称</w:t>
            </w:r>
          </w:p>
        </w:tc>
        <w:tc>
          <w:tcPr>
            <w:tcW w:w="5853" w:type="dxa"/>
            <w:vAlign w:val="center"/>
          </w:tcPr>
          <w:p w14:paraId="4D63B387">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项目名称：2025年中国电信遵义分公司湄潭县中西医结合医院床旁结算系统开发服务采购          </w:t>
            </w:r>
          </w:p>
          <w:p w14:paraId="06874D69">
            <w:pPr>
              <w:autoSpaceDE w:val="0"/>
              <w:autoSpaceDN w:val="0"/>
              <w:rPr>
                <w:rFonts w:hint="eastAsia" w:cs="宋体" w:asciiTheme="minorEastAsia" w:hAnsiTheme="minorEastAsia" w:eastAsiaTheme="minorEastAsia"/>
                <w:szCs w:val="21"/>
                <w:lang w:val="en-US" w:eastAsia="zh-CN"/>
              </w:rPr>
            </w:pPr>
            <w:r>
              <w:rPr>
                <w:rFonts w:hint="eastAsia" w:asciiTheme="minorEastAsia" w:hAnsiTheme="minorEastAsia" w:eastAsiaTheme="minorEastAsia" w:cstheme="minorEastAsia"/>
                <w:szCs w:val="21"/>
              </w:rPr>
              <w:t>项目编号：</w:t>
            </w:r>
            <w:r>
              <w:rPr>
                <w:rFonts w:hint="eastAsia" w:asciiTheme="minorEastAsia" w:hAnsiTheme="minorEastAsia" w:eastAsiaTheme="minorEastAsia" w:cstheme="minorEastAsia"/>
                <w:szCs w:val="21"/>
                <w:lang w:eastAsia="zh-CN"/>
              </w:rPr>
              <w:t>GZBBFA202509090008</w:t>
            </w:r>
          </w:p>
        </w:tc>
      </w:tr>
      <w:tr w14:paraId="13B698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CCCD832">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1.3</w:t>
            </w:r>
          </w:p>
        </w:tc>
        <w:tc>
          <w:tcPr>
            <w:tcW w:w="1844" w:type="dxa"/>
            <w:vAlign w:val="center"/>
          </w:tcPr>
          <w:p w14:paraId="698EC3D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采购范围</w:t>
            </w:r>
          </w:p>
        </w:tc>
        <w:tc>
          <w:tcPr>
            <w:tcW w:w="5853" w:type="dxa"/>
            <w:vAlign w:val="center"/>
          </w:tcPr>
          <w:p w14:paraId="24FCDCFD">
            <w:pPr>
              <w:autoSpaceDE w:val="0"/>
              <w:autoSpaceDN w:val="0"/>
              <w:rPr>
                <w:rFonts w:cs="宋体" w:asciiTheme="minorEastAsia" w:hAnsiTheme="minorEastAsia" w:eastAsiaTheme="minorEastAsia"/>
                <w:szCs w:val="21"/>
              </w:rPr>
            </w:pPr>
            <w:r>
              <w:rPr>
                <w:rFonts w:hint="eastAsia" w:asciiTheme="minorEastAsia" w:hAnsiTheme="minorEastAsia" w:eastAsiaTheme="minorEastAsia"/>
                <w:szCs w:val="21"/>
              </w:rPr>
              <w:t>详见第一章【询比公告/询比邀请书】 “1.项目概况与采购内容”。</w:t>
            </w:r>
          </w:p>
        </w:tc>
      </w:tr>
      <w:tr w14:paraId="3E6C1E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5F0052C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1.4</w:t>
            </w:r>
          </w:p>
        </w:tc>
        <w:tc>
          <w:tcPr>
            <w:tcW w:w="1844" w:type="dxa"/>
            <w:vAlign w:val="center"/>
          </w:tcPr>
          <w:p w14:paraId="2A743CB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标包划分</w:t>
            </w:r>
          </w:p>
        </w:tc>
        <w:tc>
          <w:tcPr>
            <w:tcW w:w="5853" w:type="dxa"/>
            <w:vAlign w:val="center"/>
          </w:tcPr>
          <w:p w14:paraId="484AEB16">
            <w:pPr>
              <w:autoSpaceDE w:val="0"/>
              <w:autoSpaceDN w:val="0"/>
              <w:rPr>
                <w:rFonts w:asciiTheme="minorEastAsia" w:hAnsiTheme="minorEastAsia" w:eastAsiaTheme="minorEastAsia"/>
              </w:rPr>
            </w:pPr>
            <w:r>
              <w:rPr>
                <w:rFonts w:hint="eastAsia" w:cs="宋体" w:asciiTheme="minorEastAsia" w:hAnsiTheme="minorEastAsia" w:eastAsiaTheme="minorEastAsia"/>
                <w:szCs w:val="21"/>
              </w:rPr>
              <w:sym w:font="Wingdings 2" w:char="0052"/>
            </w:r>
            <w:r>
              <w:rPr>
                <w:rFonts w:hint="eastAsia" w:cs="宋体" w:asciiTheme="minorEastAsia" w:hAnsiTheme="minorEastAsia" w:eastAsiaTheme="minorEastAsia"/>
                <w:szCs w:val="21"/>
              </w:rPr>
              <w:t>不划分标包</w:t>
            </w:r>
          </w:p>
          <w:p w14:paraId="7D298F5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□划分</w:t>
            </w:r>
            <w:r>
              <w:rPr>
                <w:rFonts w:hint="eastAsia" w:asciiTheme="minorEastAsia" w:hAnsiTheme="minorEastAsia" w:eastAsiaTheme="minorEastAsia"/>
              </w:rPr>
              <w:t>标包【标包划分情况详见</w:t>
            </w:r>
            <w:r>
              <w:rPr>
                <w:rFonts w:hint="eastAsia" w:asciiTheme="minorEastAsia" w:hAnsiTheme="minorEastAsia" w:eastAsiaTheme="minorEastAsia"/>
                <w:szCs w:val="21"/>
              </w:rPr>
              <w:t>第一章【询比公告/询比邀请书】“1.项目概况与采购内容”1.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条款。</w:t>
            </w:r>
            <w:r>
              <w:rPr>
                <w:rFonts w:hint="eastAsia" w:asciiTheme="minorEastAsia" w:hAnsiTheme="minorEastAsia" w:eastAsiaTheme="minorEastAsia"/>
              </w:rPr>
              <w:t>】</w:t>
            </w:r>
          </w:p>
        </w:tc>
      </w:tr>
      <w:tr w14:paraId="3C14B5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4EC01F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1.5.1</w:t>
            </w:r>
          </w:p>
        </w:tc>
        <w:tc>
          <w:tcPr>
            <w:tcW w:w="1844" w:type="dxa"/>
            <w:vAlign w:val="center"/>
          </w:tcPr>
          <w:p w14:paraId="7D13D7E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询比方式</w:t>
            </w:r>
          </w:p>
        </w:tc>
        <w:tc>
          <w:tcPr>
            <w:tcW w:w="5853" w:type="dxa"/>
            <w:vAlign w:val="center"/>
          </w:tcPr>
          <w:p w14:paraId="7D4E0F0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公开询比</w:t>
            </w:r>
          </w:p>
          <w:p w14:paraId="36A3919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□邀请询比</w:t>
            </w:r>
          </w:p>
        </w:tc>
      </w:tr>
      <w:tr w14:paraId="2EB073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17E2EB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1.6</w:t>
            </w:r>
          </w:p>
        </w:tc>
        <w:tc>
          <w:tcPr>
            <w:tcW w:w="1844" w:type="dxa"/>
            <w:vAlign w:val="center"/>
          </w:tcPr>
          <w:p w14:paraId="60D1EC7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询比组织形式</w:t>
            </w:r>
          </w:p>
        </w:tc>
        <w:tc>
          <w:tcPr>
            <w:tcW w:w="5853" w:type="dxa"/>
            <w:vAlign w:val="center"/>
          </w:tcPr>
          <w:p w14:paraId="7069FCA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□自行询比</w:t>
            </w:r>
          </w:p>
          <w:p w14:paraId="2D0E936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委托采购代理机构代理询比</w:t>
            </w:r>
          </w:p>
          <w:p w14:paraId="4B6164FF">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代理机构名称：中通服供应链股份有限公司贵州分公司</w:t>
            </w:r>
          </w:p>
          <w:p w14:paraId="7139D445">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代理机构联系人：杨学琴</w:t>
            </w:r>
          </w:p>
          <w:p w14:paraId="3737C5C5">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代理机构电话：18984903330</w:t>
            </w:r>
          </w:p>
        </w:tc>
      </w:tr>
      <w:tr w14:paraId="6768196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258146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1.7</w:t>
            </w:r>
          </w:p>
        </w:tc>
        <w:tc>
          <w:tcPr>
            <w:tcW w:w="1844" w:type="dxa"/>
            <w:vAlign w:val="center"/>
          </w:tcPr>
          <w:p w14:paraId="4813C0C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资格审查方式</w:t>
            </w:r>
          </w:p>
        </w:tc>
        <w:tc>
          <w:tcPr>
            <w:tcW w:w="5853" w:type="dxa"/>
            <w:vAlign w:val="center"/>
          </w:tcPr>
          <w:p w14:paraId="38D895A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□资格预审，本项目已完成资格预审。</w:t>
            </w:r>
          </w:p>
          <w:p w14:paraId="67F2C47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cs="宋体" w:asciiTheme="minorEastAsia" w:hAnsiTheme="minorEastAsia" w:eastAsiaTheme="minorEastAsia"/>
                <w:szCs w:val="21"/>
              </w:rPr>
              <w:t>资格后审</w:t>
            </w:r>
            <w:r>
              <w:rPr>
                <w:rFonts w:hint="eastAsia" w:cs="宋体" w:asciiTheme="minorEastAsia" w:hAnsiTheme="minorEastAsia" w:eastAsiaTheme="minorEastAsia"/>
                <w:szCs w:val="21"/>
              </w:rPr>
              <w:t>，资格条件详见第一章【询比公告/询比邀请书】“2.供应商资格条件”。</w:t>
            </w:r>
          </w:p>
        </w:tc>
      </w:tr>
      <w:tr w14:paraId="0F9504F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A2FD7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1.8</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p>
        </w:tc>
        <w:tc>
          <w:tcPr>
            <w:tcW w:w="1844" w:type="dxa"/>
            <w:vAlign w:val="center"/>
          </w:tcPr>
          <w:p w14:paraId="4AE202B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供应商不得存在的情形</w:t>
            </w:r>
          </w:p>
        </w:tc>
        <w:tc>
          <w:tcPr>
            <w:tcW w:w="5853" w:type="dxa"/>
            <w:vAlign w:val="center"/>
          </w:tcPr>
          <w:p w14:paraId="5B8FDDF5">
            <w:pPr>
              <w:tabs>
                <w:tab w:val="left" w:pos="585"/>
              </w:tabs>
              <w:ind w:left="18"/>
              <w:rPr>
                <w:rFonts w:asciiTheme="minorEastAsia" w:hAnsiTheme="minorEastAsia" w:eastAsiaTheme="minorEastAsia"/>
              </w:rPr>
            </w:pPr>
            <w:r>
              <w:rPr>
                <w:rFonts w:hint="eastAsia" w:asciiTheme="minorEastAsia" w:hAnsiTheme="minorEastAsia" w:eastAsiaTheme="minorEastAsia"/>
              </w:rPr>
              <w:t>本条替换为：</w:t>
            </w:r>
          </w:p>
          <w:p w14:paraId="3942DCEA">
            <w:pPr>
              <w:tabs>
                <w:tab w:val="left" w:pos="585"/>
              </w:tabs>
              <w:ind w:left="18"/>
              <w:rPr>
                <w:rFonts w:asciiTheme="minorEastAsia" w:hAnsiTheme="minorEastAsia" w:eastAsiaTheme="minorEastAsia"/>
              </w:rPr>
            </w:pPr>
            <w:r>
              <w:rPr>
                <w:rFonts w:hint="eastAsia" w:asciiTheme="minorEastAsia" w:hAnsiTheme="minorEastAsia" w:eastAsiaTheme="minorEastAsia"/>
              </w:rPr>
              <w:t>□资格预审，详见资格预审文件。</w:t>
            </w:r>
          </w:p>
          <w:p w14:paraId="5521DFD6">
            <w:pPr>
              <w:tabs>
                <w:tab w:val="left" w:pos="585"/>
              </w:tabs>
              <w:ind w:left="18"/>
              <w:rPr>
                <w:rFonts w:asciiTheme="minorEastAsia" w:hAnsiTheme="minorEastAsia" w:eastAsiaTheme="minorEastAsia"/>
                <w:szCs w:val="21"/>
              </w:rPr>
            </w:pPr>
            <w:r>
              <w:rPr>
                <w:rFonts w:hint="eastAsia" w:asciiTheme="minorEastAsia" w:hAnsiTheme="minorEastAsia" w:eastAsiaTheme="minorEastAsia"/>
                <w:lang w:eastAsia="zh-CN"/>
              </w:rPr>
              <w:t>☑</w:t>
            </w:r>
            <w:r>
              <w:rPr>
                <w:rFonts w:hint="eastAsia" w:asciiTheme="minorEastAsia" w:hAnsiTheme="minorEastAsia" w:eastAsiaTheme="minorEastAsia"/>
              </w:rPr>
              <w:t>资格后审，详见第一章【询比公告】。</w:t>
            </w:r>
          </w:p>
        </w:tc>
      </w:tr>
      <w:tr w14:paraId="2D594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2ED152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2.1.1</w:t>
            </w:r>
          </w:p>
        </w:tc>
        <w:tc>
          <w:tcPr>
            <w:tcW w:w="1844" w:type="dxa"/>
            <w:vAlign w:val="center"/>
          </w:tcPr>
          <w:p w14:paraId="3C508E2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询比文件的组成</w:t>
            </w:r>
          </w:p>
        </w:tc>
        <w:tc>
          <w:tcPr>
            <w:tcW w:w="5853" w:type="dxa"/>
            <w:vAlign w:val="center"/>
          </w:tcPr>
          <w:p w14:paraId="796AF92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本条款替换为：</w:t>
            </w:r>
          </w:p>
          <w:p w14:paraId="17E494AD">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第一章 【询比公告】</w:t>
            </w:r>
          </w:p>
          <w:p w14:paraId="3728661F">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第二章 供应商须知</w:t>
            </w:r>
          </w:p>
          <w:p w14:paraId="23E292B9">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第三章 评审办法</w:t>
            </w:r>
          </w:p>
          <w:p w14:paraId="4623866B">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第四章 【商务规范书[即合同文本]】</w:t>
            </w:r>
          </w:p>
          <w:p w14:paraId="5BE88E16">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第五章 【技术规范书】</w:t>
            </w:r>
          </w:p>
          <w:p w14:paraId="039FCC52">
            <w:pPr>
              <w:tabs>
                <w:tab w:val="left" w:pos="799"/>
              </w:tabs>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第六章 </w:t>
            </w:r>
            <w:r>
              <w:rPr>
                <w:rFonts w:hint="eastAsia" w:asciiTheme="minorEastAsia" w:hAnsiTheme="minorEastAsia" w:eastAsiaTheme="minorEastAsia"/>
                <w:szCs w:val="21"/>
              </w:rPr>
              <w:t>响应</w:t>
            </w:r>
            <w:r>
              <w:rPr>
                <w:rFonts w:hint="eastAsia" w:cs="宋体" w:asciiTheme="minorEastAsia" w:hAnsiTheme="minorEastAsia" w:eastAsiaTheme="minorEastAsia"/>
                <w:szCs w:val="21"/>
              </w:rPr>
              <w:t>文件格式</w:t>
            </w:r>
          </w:p>
          <w:p w14:paraId="246E0F9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第七章 【其他】</w:t>
            </w:r>
          </w:p>
        </w:tc>
      </w:tr>
      <w:tr w14:paraId="79F9EC0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552E3B5E">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2.1.3</w:t>
            </w:r>
          </w:p>
        </w:tc>
        <w:tc>
          <w:tcPr>
            <w:tcW w:w="1844" w:type="dxa"/>
            <w:vAlign w:val="center"/>
          </w:tcPr>
          <w:p w14:paraId="69A86FC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询比文件实质性要求的标识及非实质性要求的偏离要求</w:t>
            </w:r>
          </w:p>
        </w:tc>
        <w:tc>
          <w:tcPr>
            <w:tcW w:w="5853" w:type="dxa"/>
            <w:vAlign w:val="center"/>
          </w:tcPr>
          <w:p w14:paraId="7DD4C49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lang w:val="en-US" w:eastAsia="zh-CN"/>
              </w:rPr>
              <w:t>1）</w:t>
            </w:r>
            <w:r>
              <w:rPr>
                <w:rFonts w:hint="eastAsia" w:cs="宋体" w:asciiTheme="minorEastAsia" w:hAnsiTheme="minorEastAsia" w:eastAsiaTheme="minorEastAsia"/>
                <w:szCs w:val="21"/>
              </w:rPr>
              <w:t>询比文件中标识“</w:t>
            </w:r>
            <w:r>
              <w:rPr>
                <w:rFonts w:hint="eastAsia" w:asciiTheme="minorEastAsia" w:hAnsiTheme="minorEastAsia" w:eastAsiaTheme="minorEastAsia"/>
                <w:szCs w:val="21"/>
              </w:rPr>
              <w:t>【★</w:t>
            </w:r>
            <w:r>
              <w:rPr>
                <w:rFonts w:hint="eastAsia" w:cs="宋体" w:asciiTheme="minorEastAsia" w:hAnsiTheme="minorEastAsia" w:eastAsiaTheme="minorEastAsia"/>
                <w:szCs w:val="21"/>
              </w:rPr>
              <w:t>】”的条款，均为实质性条款，供应商任何不满足实质性条款的响应均将被否决。</w:t>
            </w:r>
          </w:p>
          <w:p w14:paraId="66879206">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color w:val="000000"/>
                <w:szCs w:val="21"/>
              </w:rPr>
              <w:t>（2）非实质性要求的偏离要求：允许偏差的最大范围</w:t>
            </w:r>
            <w:r>
              <w:rPr>
                <w:rFonts w:hint="eastAsia" w:asciiTheme="minorEastAsia" w:hAnsiTheme="minorEastAsia" w:eastAsiaTheme="minorEastAsia" w:cstheme="minorEastAsia"/>
                <w:color w:val="000000"/>
                <w:szCs w:val="21"/>
                <w:u w:val="single"/>
              </w:rPr>
              <w:t xml:space="preserve">  / </w:t>
            </w:r>
            <w:r>
              <w:rPr>
                <w:rFonts w:hint="eastAsia" w:asciiTheme="minorEastAsia" w:hAnsiTheme="minorEastAsia" w:eastAsiaTheme="minorEastAsia" w:cstheme="minorEastAsia"/>
                <w:color w:val="000000"/>
                <w:szCs w:val="21"/>
              </w:rPr>
              <w:t>、最高项数为</w:t>
            </w:r>
            <w:r>
              <w:rPr>
                <w:rFonts w:hint="eastAsia" w:asciiTheme="minorEastAsia" w:hAnsiTheme="minorEastAsia" w:eastAsiaTheme="minorEastAsia" w:cstheme="minorEastAsia"/>
                <w:color w:val="000000"/>
                <w:szCs w:val="21"/>
                <w:u w:val="single"/>
                <w:lang w:val="en-US" w:eastAsia="zh-CN"/>
              </w:rPr>
              <w:t xml:space="preserve"> 5 </w:t>
            </w:r>
            <w:r>
              <w:rPr>
                <w:rFonts w:hint="eastAsia" w:asciiTheme="minorEastAsia" w:hAnsiTheme="minorEastAsia" w:eastAsiaTheme="minorEastAsia" w:cstheme="minorEastAsia"/>
                <w:color w:val="000000"/>
                <w:szCs w:val="21"/>
              </w:rPr>
              <w:t>项 ，超出最大范围、最高项数视为实质性偏离。调整偏差的方法</w:t>
            </w:r>
            <w:r>
              <w:rPr>
                <w:rFonts w:hint="eastAsia" w:asciiTheme="minorEastAsia" w:hAnsiTheme="minorEastAsia" w:eastAsiaTheme="minorEastAsia" w:cstheme="minorEastAsia"/>
                <w:color w:val="000000"/>
                <w:szCs w:val="21"/>
                <w:u w:val="single"/>
              </w:rPr>
              <w:t xml:space="preserve">  / </w:t>
            </w:r>
            <w:r>
              <w:rPr>
                <w:rFonts w:hint="eastAsia" w:asciiTheme="minorEastAsia" w:hAnsiTheme="minorEastAsia" w:eastAsiaTheme="minorEastAsia" w:cstheme="minorEastAsia"/>
                <w:color w:val="000000"/>
                <w:szCs w:val="21"/>
              </w:rPr>
              <w:t xml:space="preserve"> </w:t>
            </w:r>
          </w:p>
        </w:tc>
      </w:tr>
      <w:tr w14:paraId="33B84F3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3E0F8C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2.1.4</w:t>
            </w:r>
          </w:p>
        </w:tc>
        <w:tc>
          <w:tcPr>
            <w:tcW w:w="1844" w:type="dxa"/>
            <w:vAlign w:val="center"/>
          </w:tcPr>
          <w:p w14:paraId="68B4A629">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是否以单项报价核定低于成本</w:t>
            </w:r>
          </w:p>
        </w:tc>
        <w:tc>
          <w:tcPr>
            <w:tcW w:w="5853" w:type="dxa"/>
            <w:vAlign w:val="center"/>
          </w:tcPr>
          <w:p w14:paraId="755751C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不要求</w:t>
            </w:r>
          </w:p>
          <w:p w14:paraId="31E8314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要求，具体要求如下：评审委员会发现响应人的单项报价明显低于其他响应报价，认为响应报价可能低于成本的，将书面要求该响应人做出书面说明并提供相关证明材料。响应人不能合理说明或者不能提供相应证明材料的，由评审委员会认定该响应人以低于成本报价竞标，评审委员会将否决其响应。</w:t>
            </w:r>
          </w:p>
        </w:tc>
      </w:tr>
      <w:tr w14:paraId="524801A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0C478B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2.2.1</w:t>
            </w:r>
          </w:p>
        </w:tc>
        <w:tc>
          <w:tcPr>
            <w:tcW w:w="1844" w:type="dxa"/>
            <w:vAlign w:val="center"/>
          </w:tcPr>
          <w:p w14:paraId="4C585FC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踏勘现场</w:t>
            </w:r>
          </w:p>
        </w:tc>
        <w:tc>
          <w:tcPr>
            <w:tcW w:w="5853" w:type="dxa"/>
            <w:vAlign w:val="center"/>
          </w:tcPr>
          <w:p w14:paraId="755FE1F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不组织</w:t>
            </w:r>
          </w:p>
          <w:p w14:paraId="7A6D685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□组织，踏勘现场的时间、地点：</w:t>
            </w:r>
          </w:p>
        </w:tc>
      </w:tr>
      <w:tr w14:paraId="0F7B02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F746B3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2.3</w:t>
            </w:r>
          </w:p>
        </w:tc>
        <w:tc>
          <w:tcPr>
            <w:tcW w:w="1844" w:type="dxa"/>
            <w:vAlign w:val="center"/>
          </w:tcPr>
          <w:p w14:paraId="2041E70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预备会</w:t>
            </w:r>
          </w:p>
        </w:tc>
        <w:tc>
          <w:tcPr>
            <w:tcW w:w="5853" w:type="dxa"/>
            <w:vAlign w:val="center"/>
          </w:tcPr>
          <w:p w14:paraId="1B48234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不召开</w:t>
            </w:r>
          </w:p>
          <w:p w14:paraId="397D1AD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□召开，召开预备会时间、地点：</w:t>
            </w:r>
          </w:p>
        </w:tc>
      </w:tr>
      <w:tr w14:paraId="767F31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D2BCB4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2.4.1</w:t>
            </w:r>
          </w:p>
        </w:tc>
        <w:tc>
          <w:tcPr>
            <w:tcW w:w="1844" w:type="dxa"/>
            <w:vAlign w:val="center"/>
          </w:tcPr>
          <w:p w14:paraId="1422882A">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供应商提出澄清问题的截止时间和方式</w:t>
            </w:r>
          </w:p>
        </w:tc>
        <w:tc>
          <w:tcPr>
            <w:tcW w:w="5853" w:type="dxa"/>
            <w:vAlign w:val="center"/>
          </w:tcPr>
          <w:p w14:paraId="5B97A15D">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截止时间：</w:t>
            </w:r>
            <w:r>
              <w:rPr>
                <w:rFonts w:hint="eastAsia" w:asciiTheme="minorEastAsia" w:hAnsiTheme="minorEastAsia" w:eastAsiaTheme="minorEastAsia" w:cstheme="minorEastAsia"/>
                <w:szCs w:val="21"/>
                <w:u w:val="single"/>
                <w:lang w:val="en-US" w:eastAsia="zh-CN"/>
              </w:rPr>
              <w:t>响应</w:t>
            </w:r>
            <w:r>
              <w:rPr>
                <w:rFonts w:hint="eastAsia" w:asciiTheme="minorEastAsia" w:hAnsiTheme="minorEastAsia" w:eastAsiaTheme="minorEastAsia" w:cstheme="minorEastAsia"/>
                <w:szCs w:val="21"/>
                <w:u w:val="single"/>
              </w:rPr>
              <w:t>文件递交截止之日</w:t>
            </w:r>
            <w:r>
              <w:rPr>
                <w:rFonts w:hint="eastAsia" w:asciiTheme="minorEastAsia" w:hAnsiTheme="minorEastAsia" w:eastAsiaTheme="minorEastAsia" w:cstheme="minorEastAsia"/>
                <w:szCs w:val="21"/>
                <w:u w:val="single"/>
                <w:lang w:val="en-US" w:eastAsia="zh-CN"/>
              </w:rPr>
              <w:t>1</w:t>
            </w:r>
            <w:r>
              <w:rPr>
                <w:rFonts w:hint="eastAsia" w:asciiTheme="minorEastAsia" w:hAnsiTheme="minorEastAsia" w:eastAsiaTheme="minorEastAsia" w:cstheme="minorEastAsia"/>
                <w:szCs w:val="21"/>
                <w:u w:val="single"/>
              </w:rPr>
              <w:t>日前</w:t>
            </w:r>
          </w:p>
          <w:p w14:paraId="7FAA836E">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提出澄清的方式：通过中国电信电子采购系统提出</w:t>
            </w:r>
          </w:p>
        </w:tc>
      </w:tr>
      <w:tr w14:paraId="65E6178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889511C">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4.2</w:t>
            </w:r>
          </w:p>
        </w:tc>
        <w:tc>
          <w:tcPr>
            <w:tcW w:w="1844" w:type="dxa"/>
            <w:vAlign w:val="center"/>
          </w:tcPr>
          <w:p w14:paraId="16F958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采购人发出询比文件澄清或者修改的截止时间和方式</w:t>
            </w:r>
          </w:p>
        </w:tc>
        <w:tc>
          <w:tcPr>
            <w:tcW w:w="5853" w:type="dxa"/>
            <w:vAlign w:val="center"/>
          </w:tcPr>
          <w:p w14:paraId="290874E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截止时间：</w:t>
            </w:r>
            <w:r>
              <w:rPr>
                <w:rFonts w:hint="eastAsia" w:asciiTheme="minorEastAsia" w:hAnsiTheme="minorEastAsia" w:eastAsiaTheme="minorEastAsia" w:cstheme="minorEastAsia"/>
                <w:szCs w:val="21"/>
                <w:u w:val="single"/>
                <w:lang w:val="en-US" w:eastAsia="zh-CN"/>
              </w:rPr>
              <w:t>响应</w:t>
            </w:r>
            <w:r>
              <w:rPr>
                <w:rFonts w:hint="eastAsia" w:asciiTheme="minorEastAsia" w:hAnsiTheme="minorEastAsia" w:eastAsiaTheme="minorEastAsia" w:cstheme="minorEastAsia"/>
                <w:szCs w:val="21"/>
                <w:u w:val="single"/>
              </w:rPr>
              <w:t>文件递交截止之日</w:t>
            </w:r>
            <w:r>
              <w:rPr>
                <w:rFonts w:hint="eastAsia" w:asciiTheme="minorEastAsia" w:hAnsiTheme="minorEastAsia" w:eastAsiaTheme="minorEastAsia" w:cstheme="minorEastAsia"/>
                <w:szCs w:val="21"/>
                <w:u w:val="single"/>
                <w:lang w:val="en-US" w:eastAsia="zh-CN"/>
              </w:rPr>
              <w:t>2</w:t>
            </w:r>
            <w:r>
              <w:rPr>
                <w:rFonts w:hint="eastAsia" w:asciiTheme="minorEastAsia" w:hAnsiTheme="minorEastAsia" w:eastAsiaTheme="minorEastAsia" w:cstheme="minorEastAsia"/>
                <w:szCs w:val="21"/>
                <w:u w:val="single"/>
              </w:rPr>
              <w:t>日前</w:t>
            </w:r>
          </w:p>
          <w:p w14:paraId="1A71D2D4">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发出澄清或者修改的方式：</w:t>
            </w:r>
            <w:r>
              <w:rPr>
                <w:rFonts w:hint="eastAsia" w:asciiTheme="minorEastAsia" w:hAnsiTheme="minorEastAsia" w:eastAsiaTheme="minorEastAsia" w:cstheme="minorEastAsia"/>
                <w:szCs w:val="21"/>
                <w:u w:val="single"/>
              </w:rPr>
              <w:t>【通过中国电信电子采购系统发出</w:t>
            </w:r>
          </w:p>
        </w:tc>
      </w:tr>
      <w:tr w14:paraId="38EEA8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72104A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2.4.4</w:t>
            </w:r>
          </w:p>
        </w:tc>
        <w:tc>
          <w:tcPr>
            <w:tcW w:w="1844" w:type="dxa"/>
            <w:vAlign w:val="center"/>
          </w:tcPr>
          <w:p w14:paraId="58BC9BD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供应商确认收到澄清或者修改的时间和方式</w:t>
            </w:r>
          </w:p>
        </w:tc>
        <w:tc>
          <w:tcPr>
            <w:tcW w:w="5853" w:type="dxa"/>
            <w:vAlign w:val="center"/>
          </w:tcPr>
          <w:p w14:paraId="56B355C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【供应商收到澄清或修改文件后1日内以</w:t>
            </w:r>
            <w:r>
              <w:rPr>
                <w:rFonts w:hint="eastAsia" w:asciiTheme="minorEastAsia" w:hAnsiTheme="minorEastAsia" w:eastAsiaTheme="minorEastAsia"/>
                <w:szCs w:val="21"/>
              </w:rPr>
              <w:t>书面方式确认（包括中国电信电子采购系统等形式）】</w:t>
            </w:r>
          </w:p>
        </w:tc>
      </w:tr>
      <w:tr w14:paraId="0F957C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6D0B32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2.5</w:t>
            </w:r>
          </w:p>
        </w:tc>
        <w:tc>
          <w:tcPr>
            <w:tcW w:w="1844" w:type="dxa"/>
            <w:vAlign w:val="center"/>
          </w:tcPr>
          <w:p w14:paraId="7F76821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询比文件的异议</w:t>
            </w:r>
          </w:p>
        </w:tc>
        <w:tc>
          <w:tcPr>
            <w:tcW w:w="5853" w:type="dxa"/>
            <w:vAlign w:val="center"/>
          </w:tcPr>
          <w:p w14:paraId="006A784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潜在供应商或者其他利害关系人对询比文件有异议的，应当在提交响应文件截止时间1日前【登录</w:t>
            </w:r>
            <w:r>
              <w:rPr>
                <w:rFonts w:cs="宋体" w:asciiTheme="minorEastAsia" w:hAnsiTheme="minorEastAsia" w:eastAsiaTheme="minorEastAsia"/>
                <w:szCs w:val="21"/>
              </w:rP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cs="宋体" w:asciiTheme="minorEastAsia" w:hAnsiTheme="minorEastAsia" w:eastAsiaTheme="minorEastAsia"/>
                <w:szCs w:val="21"/>
              </w:rPr>
              <w:t>后，通过“招投标-采购异议-提出异议”模块提出】。采购人应当自收到异议之日起3日内作出答复；作出答复前，应当暂停询比活动。已作出明确答复，且无新的事实证据，就同一事项反复提出异议的，不予受理。</w:t>
            </w:r>
          </w:p>
        </w:tc>
      </w:tr>
      <w:tr w14:paraId="06DC16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74C8089B">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3.1</w:t>
            </w:r>
          </w:p>
        </w:tc>
        <w:tc>
          <w:tcPr>
            <w:tcW w:w="1844" w:type="dxa"/>
            <w:vAlign w:val="center"/>
          </w:tcPr>
          <w:p w14:paraId="38FF090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响应文件组成</w:t>
            </w:r>
          </w:p>
        </w:tc>
        <w:tc>
          <w:tcPr>
            <w:tcW w:w="5853" w:type="dxa"/>
            <w:vAlign w:val="center"/>
          </w:tcPr>
          <w:p w14:paraId="7A6FC440">
            <w:pPr>
              <w:autoSpaceDE w:val="0"/>
              <w:autoSpaceDN w:val="0"/>
              <w:rPr>
                <w:rFonts w:hint="eastAsia" w:cs="宋体" w:asciiTheme="minorEastAsia" w:hAnsiTheme="minorEastAsia" w:eastAsiaTheme="minorEastAsia"/>
                <w:color w:val="auto"/>
                <w:szCs w:val="21"/>
                <w:highlight w:val="none"/>
                <w:lang w:val="en-US" w:eastAsia="zh-CN"/>
              </w:rPr>
            </w:pPr>
            <w:r>
              <w:rPr>
                <w:rFonts w:hint="eastAsia" w:cs="宋体" w:asciiTheme="minorEastAsia" w:hAnsiTheme="minorEastAsia" w:eastAsiaTheme="minorEastAsia"/>
                <w:color w:val="auto"/>
                <w:szCs w:val="21"/>
                <w:highlight w:val="none"/>
                <w:lang w:eastAsia="zh-CN"/>
              </w:rPr>
              <w:t>响应文件</w:t>
            </w:r>
            <w:r>
              <w:rPr>
                <w:rFonts w:hint="eastAsia" w:cs="宋体" w:asciiTheme="minorEastAsia" w:hAnsiTheme="minorEastAsia" w:eastAsiaTheme="minorEastAsia"/>
                <w:color w:val="auto"/>
                <w:szCs w:val="21"/>
                <w:highlight w:val="none"/>
              </w:rPr>
              <w:t>需按照以下顺序编制</w:t>
            </w:r>
            <w:r>
              <w:rPr>
                <w:rFonts w:hint="eastAsia" w:cs="宋体" w:asciiTheme="minorEastAsia" w:hAnsiTheme="minorEastAsia" w:eastAsiaTheme="minorEastAsia"/>
                <w:color w:val="auto"/>
                <w:szCs w:val="21"/>
                <w:highlight w:val="none"/>
                <w:lang w:val="en-US" w:eastAsia="zh-CN"/>
              </w:rPr>
              <w:t>:</w:t>
            </w:r>
          </w:p>
          <w:p w14:paraId="60CA0A95">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3.1.1商务</w:t>
            </w:r>
            <w:r>
              <w:rPr>
                <w:rFonts w:hint="eastAsia" w:asciiTheme="minorEastAsia" w:hAnsiTheme="minorEastAsia" w:eastAsiaTheme="minorEastAsia"/>
                <w:b/>
                <w:color w:val="auto"/>
                <w:szCs w:val="21"/>
                <w:highlight w:val="none"/>
                <w:lang w:eastAsia="zh-CN"/>
              </w:rPr>
              <w:t>响应文件</w:t>
            </w:r>
            <w:r>
              <w:rPr>
                <w:rFonts w:hint="eastAsia" w:asciiTheme="minorEastAsia" w:hAnsiTheme="minorEastAsia" w:eastAsiaTheme="minorEastAsia"/>
                <w:b/>
                <w:color w:val="auto"/>
                <w:szCs w:val="21"/>
                <w:highlight w:val="none"/>
              </w:rPr>
              <w:t>，包括：</w:t>
            </w:r>
          </w:p>
          <w:p w14:paraId="4F5AFAAA">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1.商务响应文件封面</w:t>
            </w:r>
          </w:p>
          <w:p w14:paraId="5283B499">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2.初步评审索引表</w:t>
            </w:r>
          </w:p>
          <w:p w14:paraId="054A756F">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3.商务评审索引表</w:t>
            </w:r>
          </w:p>
          <w:p w14:paraId="66BA0F38">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4.专用印章授权函（如有）</w:t>
            </w:r>
          </w:p>
          <w:p w14:paraId="4523BB1A">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5.响应函</w:t>
            </w:r>
          </w:p>
          <w:p w14:paraId="25D567B0">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6.法定代表人/负责人身份证明</w:t>
            </w:r>
          </w:p>
          <w:p w14:paraId="2D97D55B">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7.法定代表人/负责人授权委托书</w:t>
            </w:r>
          </w:p>
          <w:p w14:paraId="324F1FCA">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8.廉洁响应承诺书</w:t>
            </w:r>
          </w:p>
          <w:p w14:paraId="73CC9BC1">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9.特定关系信息收集表</w:t>
            </w:r>
          </w:p>
          <w:p w14:paraId="207F6D16">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10.近【五】年发生的诉讼及仲裁情况</w:t>
            </w:r>
          </w:p>
          <w:p w14:paraId="2AC0333E">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11.资格审查资料</w:t>
            </w:r>
          </w:p>
          <w:p w14:paraId="7B75EB72">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12.采购代理服务费支付承诺函</w:t>
            </w:r>
          </w:p>
          <w:p w14:paraId="42488471">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13.供应商控股及管理关系情况申报表</w:t>
            </w:r>
          </w:p>
          <w:p w14:paraId="30F6F6E1">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14.响应人须知前附表偏离表</w:t>
            </w:r>
          </w:p>
          <w:p w14:paraId="7F9F7A5C">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15.商务条款偏离表</w:t>
            </w:r>
          </w:p>
          <w:p w14:paraId="50AFA2C8">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16.合同条款偏离表</w:t>
            </w:r>
          </w:p>
          <w:p w14:paraId="3024672A">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17.网络及信息安全承诺书</w:t>
            </w:r>
          </w:p>
          <w:p w14:paraId="1A5E5277">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18.开源软件、第三方软件清单及合法获取开源软件、第三方软件使用权的证明</w:t>
            </w:r>
          </w:p>
          <w:p w14:paraId="5C8894EB">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19.响应保函</w:t>
            </w:r>
          </w:p>
          <w:p w14:paraId="051CCE58">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20.业绩情况表</w:t>
            </w:r>
          </w:p>
          <w:p w14:paraId="798821DE">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21.知识产权不侵权承诺函</w:t>
            </w:r>
          </w:p>
          <w:p w14:paraId="19AE5E9C">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22.销售/转许可同意函</w:t>
            </w:r>
          </w:p>
          <w:p w14:paraId="3B572709">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23.不得存在情形承诺</w:t>
            </w:r>
          </w:p>
          <w:p w14:paraId="72D0313C">
            <w:pPr>
              <w:spacing w:line="320" w:lineRule="exact"/>
              <w:ind w:left="441"/>
              <w:rPr>
                <w:rFonts w:hint="eastAsia" w:asciiTheme="minorEastAsia" w:hAnsiTheme="minorEastAsia" w:eastAsiaTheme="minorEastAsia"/>
                <w:b w:val="0"/>
                <w:bCs/>
                <w:color w:val="auto"/>
                <w:szCs w:val="21"/>
                <w:highlight w:val="none"/>
              </w:rPr>
            </w:pPr>
            <w:r>
              <w:rPr>
                <w:rFonts w:hint="eastAsia" w:asciiTheme="minorEastAsia" w:hAnsiTheme="minorEastAsia" w:eastAsiaTheme="minorEastAsia"/>
                <w:b w:val="0"/>
                <w:bCs/>
                <w:color w:val="auto"/>
                <w:szCs w:val="21"/>
                <w:highlight w:val="none"/>
              </w:rPr>
              <w:t>24.开具增值税专用发票承诺</w:t>
            </w:r>
          </w:p>
          <w:p w14:paraId="24938198">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3.1.2技术</w:t>
            </w:r>
            <w:r>
              <w:rPr>
                <w:rFonts w:hint="eastAsia" w:asciiTheme="minorEastAsia" w:hAnsiTheme="minorEastAsia" w:eastAsiaTheme="minorEastAsia"/>
                <w:b/>
                <w:color w:val="auto"/>
                <w:szCs w:val="21"/>
                <w:highlight w:val="none"/>
                <w:lang w:eastAsia="zh-CN"/>
              </w:rPr>
              <w:t>响应文件</w:t>
            </w:r>
            <w:r>
              <w:rPr>
                <w:rFonts w:hint="eastAsia" w:asciiTheme="minorEastAsia" w:hAnsiTheme="minorEastAsia" w:eastAsiaTheme="minorEastAsia"/>
                <w:b/>
                <w:color w:val="auto"/>
                <w:szCs w:val="21"/>
                <w:highlight w:val="none"/>
              </w:rPr>
              <w:t>，包括：</w:t>
            </w:r>
          </w:p>
          <w:p w14:paraId="3469FF1D">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25.技术响应文件封面</w:t>
            </w:r>
          </w:p>
          <w:p w14:paraId="295509AB">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26.技术服务评审索引表</w:t>
            </w:r>
          </w:p>
          <w:p w14:paraId="5DD5613E">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27.技术规范书点对点响应</w:t>
            </w:r>
          </w:p>
          <w:p w14:paraId="412E5ABA">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28.技术规范书偏离表</w:t>
            </w:r>
          </w:p>
          <w:p w14:paraId="280F03F3">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29.项目建议书</w:t>
            </w:r>
          </w:p>
          <w:p w14:paraId="358BFBF0">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30.要求供应商提供的其他文件</w:t>
            </w:r>
          </w:p>
          <w:p w14:paraId="003F166F">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31.外部组件软件成分信息清单模版</w:t>
            </w:r>
          </w:p>
          <w:p w14:paraId="4B57355C">
            <w:pPr>
              <w:spacing w:line="320" w:lineRule="exact"/>
              <w:ind w:left="441"/>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3.1.3报价文件，包括：</w:t>
            </w:r>
          </w:p>
          <w:p w14:paraId="5DD40FA1">
            <w:pPr>
              <w:spacing w:line="320" w:lineRule="exact"/>
              <w:ind w:left="441"/>
              <w:rPr>
                <w:rFonts w:hint="eastAsia" w:cs="Times New Roman" w:asciiTheme="minorEastAsia" w:hAnsiTheme="minorEastAsia" w:eastAsiaTheme="minorEastAsia"/>
                <w:b w:val="0"/>
                <w:bCs/>
                <w:color w:val="auto"/>
                <w:szCs w:val="21"/>
                <w:highlight w:val="none"/>
              </w:rPr>
            </w:pPr>
            <w:r>
              <w:rPr>
                <w:rFonts w:hint="eastAsia" w:cs="Times New Roman" w:asciiTheme="minorEastAsia" w:hAnsiTheme="minorEastAsia" w:eastAsiaTheme="minorEastAsia"/>
                <w:b w:val="0"/>
                <w:bCs/>
                <w:color w:val="auto"/>
                <w:szCs w:val="21"/>
                <w:highlight w:val="none"/>
              </w:rPr>
              <w:t>32.报价文件封面</w:t>
            </w:r>
          </w:p>
          <w:p w14:paraId="395FA469">
            <w:pPr>
              <w:spacing w:line="320" w:lineRule="exact"/>
              <w:ind w:left="441"/>
              <w:rPr>
                <w:rFonts w:cs="宋体" w:asciiTheme="minorEastAsia" w:hAnsiTheme="minorEastAsia" w:eastAsiaTheme="minorEastAsia"/>
                <w:szCs w:val="21"/>
              </w:rPr>
            </w:pPr>
            <w:r>
              <w:rPr>
                <w:rFonts w:hint="eastAsia" w:cs="Times New Roman" w:asciiTheme="minorEastAsia" w:hAnsiTheme="minorEastAsia" w:eastAsiaTheme="minorEastAsia"/>
                <w:b w:val="0"/>
                <w:bCs/>
                <w:color w:val="auto"/>
                <w:szCs w:val="21"/>
                <w:highlight w:val="none"/>
              </w:rPr>
              <w:t>33.响应一览表</w:t>
            </w:r>
          </w:p>
        </w:tc>
      </w:tr>
      <w:tr w14:paraId="5F8C7A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C44064B">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3.2.5</w:t>
            </w:r>
          </w:p>
        </w:tc>
        <w:tc>
          <w:tcPr>
            <w:tcW w:w="1844" w:type="dxa"/>
            <w:vAlign w:val="center"/>
          </w:tcPr>
          <w:p w14:paraId="08B25EA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电子响应文件的编制要求</w:t>
            </w:r>
          </w:p>
        </w:tc>
        <w:tc>
          <w:tcPr>
            <w:tcW w:w="5853" w:type="dxa"/>
            <w:vAlign w:val="center"/>
          </w:tcPr>
          <w:p w14:paraId="3DE56290">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rPr>
              <w:t>供应商需按照如下要求编制电子响应文件：</w:t>
            </w:r>
          </w:p>
          <w:p w14:paraId="240315DE">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（1）【电子响应文件需使用专用制作工具编制，供应商需通过中国电信阳光采购网“</w:t>
            </w:r>
            <w:r>
              <w:rPr>
                <w:rFonts w:hint="eastAsia"/>
              </w:rPr>
              <w:t>操作指引-电子采购-驱动和投标文件制作工具下载指引</w:t>
            </w:r>
            <w:r>
              <w:rPr>
                <w:rFonts w:hint="eastAsia" w:asciiTheme="minorEastAsia" w:hAnsiTheme="minorEastAsia" w:eastAsiaTheme="minorEastAsia"/>
                <w:szCs w:val="21"/>
              </w:rPr>
              <w:t>”模块，按指引</w:t>
            </w:r>
            <w:r>
              <w:rPr>
                <w:rFonts w:hint="eastAsia" w:asciiTheme="minorEastAsia" w:hAnsiTheme="minorEastAsia" w:eastAsiaTheme="minorEastAsia"/>
              </w:rPr>
              <w:t>下载并安装“中国电信投标文件制作工具”。】</w:t>
            </w:r>
          </w:p>
          <w:p w14:paraId="256A9A2D">
            <w:pPr>
              <w:spacing w:line="320" w:lineRule="exact"/>
              <w:ind w:firstLine="420" w:firstLineChars="200"/>
              <w:rPr>
                <w:rFonts w:ascii="宋体" w:hAnsi="宋体"/>
                <w:szCs w:val="21"/>
              </w:rPr>
            </w:pPr>
            <w:r>
              <w:rPr>
                <w:rFonts w:hint="eastAsia" w:asciiTheme="minorEastAsia" w:hAnsiTheme="minorEastAsia" w:eastAsiaTheme="minorEastAsia"/>
                <w:szCs w:val="21"/>
              </w:rPr>
              <w:t>（2）响应文件需按照组成部分分别完成编制，单个组成部分大小不超过</w:t>
            </w:r>
            <w:r>
              <w:rPr>
                <w:rFonts w:hint="eastAsia" w:ascii="宋体" w:hAnsi="宋体"/>
                <w:szCs w:val="21"/>
              </w:rPr>
              <w:t>50Mb，总容量不超过500Mb。</w:t>
            </w:r>
          </w:p>
          <w:p w14:paraId="05A9707D">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（3）电子响应文件以及相关证明文件均须清晰可读，明确要求的内容不得遮盖、隐藏，否则视为未提供。</w:t>
            </w:r>
          </w:p>
          <w:p w14:paraId="504D3178">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电子响应文件须</w:t>
            </w:r>
            <w:r>
              <w:rPr>
                <w:rFonts w:hint="eastAsia" w:asciiTheme="minorEastAsia" w:hAnsiTheme="minorEastAsia" w:eastAsiaTheme="minorEastAsia"/>
              </w:rPr>
              <w:t>使用供应商</w:t>
            </w:r>
            <w:r>
              <w:rPr>
                <w:rFonts w:asciiTheme="minorEastAsia" w:hAnsiTheme="minorEastAsia" w:eastAsiaTheme="minorEastAsia"/>
                <w:szCs w:val="21"/>
              </w:rPr>
              <w:t>CA数字</w:t>
            </w:r>
            <w:r>
              <w:rPr>
                <w:rFonts w:hint="eastAsia" w:asciiTheme="minorEastAsia" w:hAnsiTheme="minorEastAsia" w:eastAsiaTheme="minorEastAsia"/>
                <w:szCs w:val="21"/>
              </w:rPr>
              <w:t>证书</w:t>
            </w:r>
            <w:r>
              <w:rPr>
                <w:rFonts w:asciiTheme="minorEastAsia" w:hAnsiTheme="minorEastAsia" w:eastAsiaTheme="minorEastAsia"/>
                <w:szCs w:val="21"/>
              </w:rPr>
              <w:t>签章</w:t>
            </w:r>
            <w:r>
              <w:rPr>
                <w:rFonts w:hint="eastAsia" w:asciiTheme="minorEastAsia" w:hAnsiTheme="minorEastAsia" w:eastAsiaTheme="minorEastAsia"/>
                <w:szCs w:val="21"/>
              </w:rPr>
              <w:t xml:space="preserve">和加密，未按规定签章和加密的电子响应文件无法上传。 </w:t>
            </w:r>
          </w:p>
          <w:p w14:paraId="3C6F9C10">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（5）需供应商与其他第三方共同签字盖章的文件、需联合体各方签字盖章的文件，供应商与其他第三方均应按文件要求进行签字盖章，并上传扫描件，如制造商授权函、联合体协议书等；</w:t>
            </w:r>
          </w:p>
          <w:p w14:paraId="20C2F8FE">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仅需第三方签字盖章的文件，供应商应上传经第三方签字盖章后的扫描件，如要求制造商单独提供的网络及信息安全承诺书等；</w:t>
            </w:r>
          </w:p>
          <w:p w14:paraId="72D6E051">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解密成功的响应文件中，仅需供应商签字盖章的文件，视为已按询比文件要求进行了签字盖章。</w:t>
            </w:r>
          </w:p>
          <w:p w14:paraId="38687E89">
            <w:pPr>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6）产品制造商注册地在中华人民共和国境外（与中华人民共和国有正常贸易与往来的国家或地区）及香港、澳门、台湾地区，必须使用代理商响应和签订销售合同且无法加盖单位公章的，响应文件中需制造商出具的文件应由有签署权的代表签字确认，并提供委托签署权的相关证明材料。</w:t>
            </w:r>
          </w:p>
          <w:p w14:paraId="1BCB1208">
            <w:pPr>
              <w:spacing w:line="320" w:lineRule="exact"/>
              <w:ind w:firstLine="420" w:firstLineChars="200"/>
              <w:rPr>
                <w:rFonts w:cs="宋体" w:asciiTheme="minorEastAsia" w:hAnsiTheme="minorEastAsia" w:eastAsiaTheme="minorEastAsia"/>
                <w:szCs w:val="21"/>
              </w:rPr>
            </w:pPr>
            <w:r>
              <w:rPr>
                <w:rFonts w:hint="eastAsia" w:asciiTheme="minorEastAsia" w:hAnsiTheme="minorEastAsia" w:eastAsiaTheme="minorEastAsia"/>
                <w:szCs w:val="21"/>
              </w:rPr>
              <w:t>（7）</w:t>
            </w:r>
            <w:r>
              <w:rPr>
                <w:rFonts w:hint="eastAsia" w:cs="宋体" w:asciiTheme="minorEastAsia" w:hAnsiTheme="minorEastAsia" w:eastAsiaTheme="minorEastAsia"/>
                <w:szCs w:val="21"/>
              </w:rPr>
              <w:t>响应保证金（如有）以支票、汇票、保函、保险等形式递交的，必须递交纸质原件，且应密封装于独立的信封内，信封上标明“响应保证金”字样，并在封口处加盖单位公章或响应专用章的骑缝章（采用线上开具的情况除外，如：电子保险）。</w:t>
            </w:r>
          </w:p>
          <w:p w14:paraId="587F8297">
            <w:pPr>
              <w:spacing w:line="320" w:lineRule="exact"/>
              <w:rPr>
                <w:rFonts w:cs="宋体" w:asciiTheme="minorEastAsia" w:hAnsiTheme="minorEastAsia" w:eastAsiaTheme="minorEastAsia"/>
                <w:szCs w:val="21"/>
              </w:rPr>
            </w:pPr>
            <w:r>
              <w:rPr>
                <w:rFonts w:cs="宋体" w:asciiTheme="minorEastAsia" w:hAnsiTheme="minorEastAsia" w:eastAsiaTheme="minorEastAsia"/>
                <w:szCs w:val="21"/>
              </w:rPr>
              <w:t>[对</w:t>
            </w:r>
            <w:r>
              <w:rPr>
                <w:rFonts w:hint="eastAsia" w:cs="宋体" w:asciiTheme="minorEastAsia" w:hAnsiTheme="minorEastAsia" w:eastAsiaTheme="minorEastAsia"/>
                <w:szCs w:val="21"/>
              </w:rPr>
              <w:t>响应文件</w:t>
            </w:r>
            <w:r>
              <w:rPr>
                <w:rFonts w:cs="宋体" w:asciiTheme="minorEastAsia" w:hAnsiTheme="minorEastAsia" w:eastAsiaTheme="minorEastAsia"/>
                <w:szCs w:val="21"/>
              </w:rPr>
              <w:t>编制和</w:t>
            </w:r>
            <w:r>
              <w:rPr>
                <w:rFonts w:hint="eastAsia" w:cs="宋体" w:asciiTheme="minorEastAsia" w:hAnsiTheme="minorEastAsia" w:eastAsiaTheme="minorEastAsia"/>
                <w:szCs w:val="21"/>
              </w:rPr>
              <w:t>提交</w:t>
            </w:r>
            <w:r>
              <w:rPr>
                <w:rFonts w:cs="宋体" w:asciiTheme="minorEastAsia" w:hAnsiTheme="minorEastAsia" w:eastAsiaTheme="minorEastAsia"/>
                <w:szCs w:val="21"/>
              </w:rPr>
              <w:t>有特殊要求的，可在此写明]</w:t>
            </w:r>
          </w:p>
          <w:p w14:paraId="2EC1B1D9">
            <w:pPr>
              <w:spacing w:line="320" w:lineRule="exact"/>
              <w:ind w:firstLine="420" w:firstLineChars="200"/>
              <w:rPr>
                <w:rFonts w:ascii="宋体" w:hAnsi="宋体"/>
                <w:szCs w:val="21"/>
              </w:rPr>
            </w:pPr>
            <w:r>
              <w:rPr>
                <w:rFonts w:hint="eastAsia" w:cs="宋体" w:asciiTheme="minorEastAsia" w:hAnsiTheme="minorEastAsia" w:eastAsiaTheme="minorEastAsia"/>
                <w:szCs w:val="21"/>
              </w:rPr>
              <w:t>【（8）</w:t>
            </w:r>
            <w:r>
              <w:rPr>
                <w:rFonts w:hint="eastAsia" w:ascii="宋体" w:hAnsi="宋体"/>
                <w:szCs w:val="21"/>
              </w:rPr>
              <w:t>如业绩等证明文件超出电子响应文件单个组成部分大小限制，须按下方操作：</w:t>
            </w:r>
          </w:p>
          <w:p w14:paraId="57D0A740">
            <w:pPr>
              <w:spacing w:line="320" w:lineRule="exact"/>
              <w:ind w:firstLine="420" w:firstLineChars="200"/>
              <w:rPr>
                <w:rFonts w:ascii="宋体" w:hAnsi="宋体"/>
                <w:szCs w:val="21"/>
              </w:rPr>
            </w:pPr>
            <w:r>
              <w:rPr>
                <w:rFonts w:hint="eastAsia" w:ascii="宋体" w:hAnsi="宋体"/>
                <w:szCs w:val="21"/>
              </w:rPr>
              <w:t>①供应商须在“中国电信投标文件制作工具”中对应文件位置上传业绩情况表及说明等文件，说明中必须包含“该证明文件超过50Mb，我方承诺在</w:t>
            </w:r>
            <w:r>
              <w:rPr>
                <w:rFonts w:hint="eastAsia" w:asciiTheme="minorEastAsia" w:hAnsiTheme="minorEastAsia" w:eastAsiaTheme="minorEastAsia"/>
              </w:rPr>
              <w:t>电子采购系统</w:t>
            </w:r>
            <w:r>
              <w:rPr>
                <w:rFonts w:hint="eastAsia" w:ascii="宋体" w:hAnsi="宋体"/>
                <w:szCs w:val="21"/>
              </w:rPr>
              <w:t>上提交的大附件为真实有效的文件”。</w:t>
            </w:r>
          </w:p>
          <w:p w14:paraId="7AAD1EC8">
            <w:pPr>
              <w:spacing w:line="320" w:lineRule="exact"/>
              <w:ind w:firstLine="420" w:firstLineChars="200"/>
              <w:rPr>
                <w:rFonts w:ascii="宋体" w:hAnsi="宋体"/>
                <w:szCs w:val="21"/>
              </w:rPr>
            </w:pPr>
            <w:r>
              <w:rPr>
                <w:rFonts w:hint="eastAsia" w:ascii="宋体" w:hAnsi="宋体"/>
                <w:szCs w:val="21"/>
              </w:rPr>
              <w:t>②该证明文件通过中国电信电子采购系统“</w:t>
            </w:r>
            <w:r>
              <w:rPr>
                <w:rFonts w:hint="eastAsia" w:ascii="宋体" w:hAnsi="宋体"/>
                <w:szCs w:val="21"/>
                <w:lang w:val="en-US" w:eastAsia="zh-CN"/>
              </w:rPr>
              <w:t>响应</w:t>
            </w:r>
            <w:r>
              <w:rPr>
                <w:rFonts w:hint="eastAsia" w:ascii="宋体" w:hAnsi="宋体"/>
                <w:szCs w:val="21"/>
              </w:rPr>
              <w:t>文件递交-04大附件上传”进行提交。</w:t>
            </w:r>
          </w:p>
          <w:p w14:paraId="5E82EB5F">
            <w:pPr>
              <w:autoSpaceDE w:val="0"/>
              <w:autoSpaceDN w:val="0"/>
              <w:rPr>
                <w:rFonts w:cs="宋体" w:asciiTheme="minorEastAsia" w:hAnsiTheme="minorEastAsia" w:eastAsiaTheme="minorEastAsia"/>
                <w:szCs w:val="21"/>
              </w:rPr>
            </w:pPr>
            <w:r>
              <w:rPr>
                <w:rFonts w:hint="eastAsia" w:ascii="宋体" w:hAnsi="宋体"/>
                <w:szCs w:val="21"/>
              </w:rPr>
              <w:t>（9）</w:t>
            </w:r>
            <w:r>
              <w:rPr>
                <w:rFonts w:hint="eastAsia" w:cs="宋体" w:asciiTheme="minorEastAsia" w:hAnsiTheme="minorEastAsia" w:eastAsiaTheme="minorEastAsia"/>
                <w:szCs w:val="21"/>
              </w:rPr>
              <w:t>……】</w:t>
            </w:r>
          </w:p>
        </w:tc>
      </w:tr>
      <w:tr w14:paraId="2F4F6B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36C71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3.3.3</w:t>
            </w:r>
          </w:p>
        </w:tc>
        <w:tc>
          <w:tcPr>
            <w:tcW w:w="1844" w:type="dxa"/>
            <w:vAlign w:val="center"/>
          </w:tcPr>
          <w:p w14:paraId="6F809B8A">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最高响应限价或者其计算方法</w:t>
            </w:r>
          </w:p>
        </w:tc>
        <w:tc>
          <w:tcPr>
            <w:tcW w:w="5853" w:type="dxa"/>
            <w:vAlign w:val="center"/>
          </w:tcPr>
          <w:p w14:paraId="33DBE35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□不设置最高响应限价</w:t>
            </w:r>
          </w:p>
          <w:p w14:paraId="15AD2ACB">
            <w:pPr>
              <w:autoSpaceDE w:val="0"/>
              <w:autoSpaceDN w:val="0"/>
              <w:rPr>
                <w:rFonts w:cs="宋体" w:asciiTheme="minorEastAsia" w:hAnsiTheme="minorEastAsia" w:eastAsiaTheme="minorEastAsia"/>
                <w:szCs w:val="21"/>
                <w:u w:val="single"/>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设置最高响应限价，【最高响应限价详见</w:t>
            </w:r>
            <w:r>
              <w:rPr>
                <w:rFonts w:hint="eastAsia" w:asciiTheme="minorEastAsia" w:hAnsiTheme="minorEastAsia" w:eastAsiaTheme="minorEastAsia"/>
                <w:szCs w:val="21"/>
              </w:rPr>
              <w:t>第一章【询比公告】“1.项目概况与采购内容”</w:t>
            </w:r>
            <w:r>
              <w:rPr>
                <w:rFonts w:hint="eastAsia" w:asciiTheme="minorEastAsia" w:hAnsiTheme="minorEastAsia" w:eastAsiaTheme="minorEastAsia"/>
                <w:b/>
                <w:bCs/>
                <w:szCs w:val="21"/>
              </w:rPr>
              <w:t>1.</w:t>
            </w:r>
            <w:r>
              <w:rPr>
                <w:rFonts w:hint="eastAsia" w:asciiTheme="minorEastAsia" w:hAnsiTheme="minorEastAsia" w:eastAsiaTheme="minorEastAsia"/>
                <w:b/>
                <w:bCs/>
                <w:szCs w:val="21"/>
                <w:lang w:val="en-US" w:eastAsia="zh-CN"/>
              </w:rPr>
              <w:t>8</w:t>
            </w:r>
            <w:r>
              <w:rPr>
                <w:rFonts w:hint="eastAsia" w:asciiTheme="minorEastAsia" w:hAnsiTheme="minorEastAsia" w:eastAsiaTheme="minorEastAsia"/>
                <w:b/>
                <w:bCs/>
                <w:szCs w:val="21"/>
              </w:rPr>
              <w:t>条款</w:t>
            </w:r>
            <w:r>
              <w:rPr>
                <w:rFonts w:hint="eastAsia" w:asciiTheme="minorEastAsia" w:hAnsiTheme="minorEastAsia" w:eastAsiaTheme="minorEastAsia"/>
                <w:szCs w:val="21"/>
              </w:rPr>
              <w:t>。</w:t>
            </w:r>
          </w:p>
        </w:tc>
      </w:tr>
      <w:tr w14:paraId="20202B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4D5A7E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3.3.5</w:t>
            </w:r>
          </w:p>
        </w:tc>
        <w:tc>
          <w:tcPr>
            <w:tcW w:w="1844" w:type="dxa"/>
            <w:vAlign w:val="center"/>
          </w:tcPr>
          <w:p w14:paraId="6397CED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响应报价</w:t>
            </w:r>
            <w:r>
              <w:rPr>
                <w:rFonts w:hint="eastAsia" w:asciiTheme="minorEastAsia" w:hAnsiTheme="minorEastAsia" w:eastAsiaTheme="minorEastAsia"/>
              </w:rPr>
              <w:t>优惠条件</w:t>
            </w:r>
          </w:p>
        </w:tc>
        <w:tc>
          <w:tcPr>
            <w:tcW w:w="5853" w:type="dxa"/>
            <w:vAlign w:val="center"/>
          </w:tcPr>
          <w:p w14:paraId="51E7F51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□报优惠价</w:t>
            </w:r>
          </w:p>
          <w:p w14:paraId="4AB230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不接受报优惠价</w:t>
            </w:r>
          </w:p>
          <w:p w14:paraId="30EA1B25">
            <w:pPr>
              <w:autoSpaceDE w:val="0"/>
              <w:autoSpaceDN w:val="0"/>
              <w:rPr>
                <w:rFonts w:cs="宋体" w:asciiTheme="minorEastAsia" w:hAnsiTheme="minorEastAsia" w:eastAsiaTheme="minorEastAsia"/>
                <w:szCs w:val="21"/>
                <w:u w:val="single"/>
              </w:rPr>
            </w:pPr>
            <w:r>
              <w:rPr>
                <w:rFonts w:hint="eastAsia" w:cs="宋体" w:asciiTheme="minorEastAsia" w:hAnsiTheme="minorEastAsia" w:eastAsiaTheme="minorEastAsia"/>
                <w:szCs w:val="21"/>
              </w:rPr>
              <w:t>□报优惠价的其他方式：</w:t>
            </w:r>
            <w:r>
              <w:rPr>
                <w:rFonts w:hint="eastAsia" w:asciiTheme="minorEastAsia" w:hAnsiTheme="minorEastAsia" w:eastAsiaTheme="minorEastAsia"/>
                <w:szCs w:val="21"/>
                <w:u w:val="single"/>
              </w:rPr>
              <w:t>【</w:t>
            </w:r>
            <w:r>
              <w:rPr>
                <w:rFonts w:hint="eastAsia" w:cs="宋体" w:asciiTheme="minorEastAsia" w:hAnsiTheme="minorEastAsia" w:eastAsiaTheme="minorEastAsia"/>
                <w:szCs w:val="21"/>
                <w:u w:val="single"/>
              </w:rPr>
              <w:t>具体方式</w:t>
            </w:r>
            <w:r>
              <w:rPr>
                <w:rFonts w:hint="eastAsia" w:asciiTheme="minorEastAsia" w:hAnsiTheme="minorEastAsia" w:eastAsiaTheme="minorEastAsia"/>
                <w:szCs w:val="21"/>
                <w:u w:val="single"/>
              </w:rPr>
              <w:t>】</w:t>
            </w:r>
          </w:p>
        </w:tc>
      </w:tr>
      <w:tr w14:paraId="0C912D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0D37EEB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3.3.6</w:t>
            </w:r>
          </w:p>
        </w:tc>
        <w:tc>
          <w:tcPr>
            <w:tcW w:w="1844" w:type="dxa"/>
            <w:vAlign w:val="center"/>
          </w:tcPr>
          <w:p w14:paraId="35CD2FF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响应报价具体要求</w:t>
            </w:r>
          </w:p>
        </w:tc>
        <w:tc>
          <w:tcPr>
            <w:tcW w:w="5853" w:type="dxa"/>
            <w:vAlign w:val="center"/>
          </w:tcPr>
          <w:p w14:paraId="5123C3F0">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本条款增加以下规定： </w:t>
            </w:r>
          </w:p>
          <w:p w14:paraId="7BFBE3F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报价为买方指定现场交货价</w:t>
            </w:r>
          </w:p>
          <w:p w14:paraId="29CA029E">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人需严格按照本项目</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文件中技术规范书、报价要求与报价格式进行报价，报价格式中各项报表主要内容均必须填写，不得缺省或回避填写，否则评审时</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人有权对该项漏报项按照所有有效</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人该项的最高价进行核增，以核增后的价格作为评审价，以免费赠送作为</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人的采购价，由此引起的后果由</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人承担。</w:t>
            </w:r>
          </w:p>
          <w:p w14:paraId="5A1CFE6C">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人需严格按照本项目</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文件中技术规范书、报价要求与报价格式进行报价，如有多报，以该</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报价作为评审价，按</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文件规定的采购内容进行采购，合同签订时核减多报的金额。</w:t>
            </w:r>
          </w:p>
          <w:p w14:paraId="35B8723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（4）不含税单价报价最多可保留6位小数，含税单价和总价均按照四舍五入方式保留2位小数。</w:t>
            </w:r>
          </w:p>
          <w:p w14:paraId="358817D5">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（5）价格计算原则应按照以下原则进行计算：</w:t>
            </w:r>
          </w:p>
          <w:p w14:paraId="09CD5DDB">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价格计算按照产品分项进行计算。</w:t>
            </w:r>
          </w:p>
          <w:p w14:paraId="0C6BC76A">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价款总价=单价*数量。</w:t>
            </w:r>
          </w:p>
          <w:p w14:paraId="1C8C9846">
            <w:pPr>
              <w:autoSpaceDE w:val="0"/>
              <w:autoSpaceDN w:val="0"/>
              <w:spacing w:line="288" w:lineRule="auto"/>
              <w:ind w:firstLine="489" w:firstLineChars="23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增值税款总价=单价*数量*增值税率。</w:t>
            </w:r>
          </w:p>
          <w:p w14:paraId="237AEF0B">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价税合计=价款总价+增值税款总价。</w:t>
            </w:r>
          </w:p>
        </w:tc>
      </w:tr>
      <w:tr w14:paraId="5E3DC1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8885184">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3.4.1</w:t>
            </w:r>
          </w:p>
        </w:tc>
        <w:tc>
          <w:tcPr>
            <w:tcW w:w="1844" w:type="dxa"/>
            <w:vAlign w:val="center"/>
          </w:tcPr>
          <w:p w14:paraId="60AC0127">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响应有效期</w:t>
            </w:r>
          </w:p>
        </w:tc>
        <w:tc>
          <w:tcPr>
            <w:tcW w:w="5853" w:type="dxa"/>
            <w:vAlign w:val="center"/>
          </w:tcPr>
          <w:p w14:paraId="41B52AF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响应有效期：</w:t>
            </w:r>
            <w:r>
              <w:rPr>
                <w:rFonts w:hint="eastAsia" w:asciiTheme="minorEastAsia" w:hAnsiTheme="minorEastAsia" w:eastAsiaTheme="minorEastAsia"/>
                <w:szCs w:val="21"/>
              </w:rPr>
              <w:t>【</w:t>
            </w:r>
            <w:r>
              <w:rPr>
                <w:rFonts w:hint="eastAsia" w:cs="宋体" w:asciiTheme="minorEastAsia" w:hAnsiTheme="minorEastAsia" w:eastAsiaTheme="minorEastAsia"/>
                <w:szCs w:val="21"/>
                <w:lang w:val="en-US" w:eastAsia="zh-CN"/>
              </w:rPr>
              <w:t>120</w:t>
            </w:r>
            <w:r>
              <w:rPr>
                <w:rFonts w:hint="eastAsia" w:asciiTheme="minorEastAsia" w:hAnsiTheme="minorEastAsia" w:eastAsiaTheme="minorEastAsia"/>
                <w:szCs w:val="21"/>
              </w:rPr>
              <w:t>】</w:t>
            </w:r>
            <w:r>
              <w:rPr>
                <w:rFonts w:hint="eastAsia" w:cs="宋体" w:asciiTheme="minorEastAsia" w:hAnsiTheme="minorEastAsia" w:eastAsiaTheme="minorEastAsia"/>
                <w:szCs w:val="21"/>
              </w:rPr>
              <w:t>天</w:t>
            </w:r>
          </w:p>
        </w:tc>
      </w:tr>
      <w:tr w14:paraId="6F6B91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22818A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3.5.1</w:t>
            </w:r>
          </w:p>
        </w:tc>
        <w:tc>
          <w:tcPr>
            <w:tcW w:w="1844" w:type="dxa"/>
            <w:vAlign w:val="center"/>
          </w:tcPr>
          <w:p w14:paraId="5746F24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响应保证金递交要求和金额</w:t>
            </w:r>
          </w:p>
        </w:tc>
        <w:tc>
          <w:tcPr>
            <w:tcW w:w="5853" w:type="dxa"/>
            <w:vAlign w:val="center"/>
          </w:tcPr>
          <w:p w14:paraId="57C929F8">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要求提交响应保证金，响应保证金金额：【人民币</w:t>
            </w:r>
            <w:r>
              <w:rPr>
                <w:rFonts w:hint="eastAsia" w:cs="宋体" w:asciiTheme="minorEastAsia" w:hAnsiTheme="minorEastAsia" w:eastAsiaTheme="minorEastAsia"/>
                <w:szCs w:val="21"/>
                <w:lang w:val="en-US" w:eastAsia="zh-CN"/>
              </w:rPr>
              <w:t>2900</w:t>
            </w:r>
            <w:r>
              <w:rPr>
                <w:rFonts w:hint="eastAsia" w:cs="宋体" w:asciiTheme="minorEastAsia" w:hAnsiTheme="minorEastAsia" w:eastAsiaTheme="minorEastAsia"/>
                <w:szCs w:val="21"/>
              </w:rPr>
              <w:t>】元</w:t>
            </w:r>
          </w:p>
          <w:p w14:paraId="5B5BE4F6">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□无需提交响应保证金</w:t>
            </w:r>
          </w:p>
        </w:tc>
      </w:tr>
      <w:tr w14:paraId="341C6A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CB3F75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w:t>
            </w:r>
            <w:r>
              <w:rPr>
                <w:rFonts w:cs="宋体" w:asciiTheme="minorEastAsia" w:hAnsiTheme="minorEastAsia" w:eastAsiaTheme="minorEastAsia"/>
                <w:szCs w:val="21"/>
              </w:rPr>
              <w:t>.</w:t>
            </w:r>
            <w:r>
              <w:rPr>
                <w:rFonts w:hint="eastAsia" w:cs="宋体" w:asciiTheme="minorEastAsia" w:hAnsiTheme="minorEastAsia" w:eastAsiaTheme="minorEastAsia"/>
                <w:szCs w:val="21"/>
              </w:rPr>
              <w:t>2</w:t>
            </w:r>
          </w:p>
        </w:tc>
        <w:tc>
          <w:tcPr>
            <w:tcW w:w="1844" w:type="dxa"/>
            <w:vAlign w:val="center"/>
          </w:tcPr>
          <w:p w14:paraId="6F23E585">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响应保证金形式</w:t>
            </w:r>
          </w:p>
        </w:tc>
        <w:tc>
          <w:tcPr>
            <w:tcW w:w="5853" w:type="dxa"/>
            <w:vAlign w:val="center"/>
          </w:tcPr>
          <w:p w14:paraId="385E75B9">
            <w:pPr>
              <w:autoSpaceDE w:val="0"/>
              <w:autoSpaceDN w:val="0"/>
              <w:rPr>
                <w:rFonts w:hint="eastAsia" w:ascii="宋体" w:hAnsi="宋体" w:cs="宋体"/>
                <w:szCs w:val="21"/>
              </w:rPr>
            </w:pPr>
            <w:r>
              <w:rPr>
                <w:rFonts w:hint="eastAsia" w:asciiTheme="minorEastAsia" w:hAnsiTheme="minorEastAsia" w:eastAsiaTheme="minorEastAsia"/>
              </w:rPr>
              <w:t>响应保证金形式包括在中国注册的银行出具的银行保函、银行汇款、支票、汇票以及其他在中国注册的机构依法出具的响应保函、保险等，以银行汇款、支票、汇票等形式提交的响应保证金应当从供应商账户转出</w:t>
            </w:r>
            <w:r>
              <w:rPr>
                <w:rFonts w:hint="eastAsia" w:asciiTheme="minorEastAsia" w:hAnsiTheme="minorEastAsia" w:eastAsiaTheme="minorEastAsia"/>
                <w:lang w:eastAsia="zh-CN"/>
              </w:rPr>
              <w:t>，</w:t>
            </w:r>
            <w:r>
              <w:rPr>
                <w:rFonts w:hint="eastAsia" w:cs="宋体" w:asciiTheme="minorEastAsia" w:hAnsiTheme="minorEastAsia" w:eastAsiaTheme="minorEastAsia"/>
                <w:szCs w:val="21"/>
              </w:rPr>
              <w:t>以银行汇款等形式提交响应保证金的，响应保证金缴纳至如下</w:t>
            </w:r>
            <w:r>
              <w:rPr>
                <w:rFonts w:hint="eastAsia" w:ascii="宋体" w:hAnsi="宋体" w:cs="宋体"/>
                <w:szCs w:val="21"/>
              </w:rPr>
              <w:t>账户：</w:t>
            </w:r>
          </w:p>
          <w:p w14:paraId="7B1C1DF0">
            <w:pPr>
              <w:autoSpaceDE w:val="0"/>
              <w:autoSpaceDN w:val="0"/>
              <w:rPr>
                <w:rFonts w:ascii="宋体" w:hAnsi="宋体" w:cs="宋体"/>
                <w:szCs w:val="21"/>
              </w:rPr>
            </w:pPr>
            <w:r>
              <w:rPr>
                <w:rFonts w:hint="eastAsia" w:ascii="宋体" w:hAnsi="宋体" w:cs="宋体"/>
                <w:szCs w:val="21"/>
              </w:rPr>
              <w:t>中通服供应链股份有限公司贵州分公司</w:t>
            </w:r>
          </w:p>
          <w:p w14:paraId="2C28ADEB">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开户银行：中信银行股份有限公司贵阳林城西路支行  </w:t>
            </w:r>
          </w:p>
          <w:p w14:paraId="205F8FF0">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银行账号：8113201012700144272</w:t>
            </w:r>
          </w:p>
          <w:p w14:paraId="461F26B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以</w:t>
            </w:r>
            <w:r>
              <w:rPr>
                <w:rFonts w:hint="eastAsia" w:asciiTheme="minorEastAsia" w:hAnsiTheme="minorEastAsia" w:eastAsiaTheme="minorEastAsia"/>
              </w:rPr>
              <w:t>保函、保险</w:t>
            </w:r>
            <w:r>
              <w:rPr>
                <w:rFonts w:hint="eastAsia" w:cs="宋体" w:asciiTheme="minorEastAsia" w:hAnsiTheme="minorEastAsia" w:eastAsiaTheme="minorEastAsia"/>
                <w:szCs w:val="21"/>
              </w:rPr>
              <w:t>形式提交响应保证金的，保函中应当写明受益人为</w:t>
            </w:r>
            <w:r>
              <w:rPr>
                <w:rFonts w:hint="eastAsia" w:asciiTheme="minorEastAsia" w:hAnsiTheme="minorEastAsia" w:eastAsiaTheme="minorEastAsia" w:cstheme="minorEastAsia"/>
                <w:szCs w:val="21"/>
                <w:u w:val="none"/>
              </w:rPr>
              <w:t>中国电信股份有限公司遵义分公司</w:t>
            </w:r>
            <w:r>
              <w:rPr>
                <w:rFonts w:hint="eastAsia" w:cs="宋体" w:asciiTheme="minorEastAsia" w:hAnsiTheme="minorEastAsia" w:eastAsiaTheme="minorEastAsia"/>
                <w:szCs w:val="21"/>
              </w:rPr>
              <w:t>，担保项目为</w:t>
            </w:r>
            <w:r>
              <w:rPr>
                <w:rFonts w:hint="eastAsia" w:cs="宋体" w:asciiTheme="minorEastAsia" w:hAnsiTheme="minorEastAsia" w:eastAsiaTheme="minorEastAsia"/>
                <w:szCs w:val="21"/>
                <w:u w:val="single"/>
              </w:rPr>
              <w:t>[2025年中国电信遵义分公司湄潭县中西医结合医院床旁结算系统开发服务采购]</w:t>
            </w:r>
            <w:r>
              <w:rPr>
                <w:rFonts w:hint="eastAsia" w:cs="宋体" w:asciiTheme="minorEastAsia" w:hAnsiTheme="minorEastAsia" w:eastAsiaTheme="minorEastAsia"/>
                <w:szCs w:val="21"/>
              </w:rPr>
              <w:t>，担保有效期应覆盖响应有效期。保函、保险等原件应作为响应文件在响应截止时间前提交到：【</w:t>
            </w:r>
            <w:r>
              <w:rPr>
                <w:rFonts w:hint="eastAsia" w:asciiTheme="minorEastAsia" w:hAnsiTheme="minorEastAsia" w:eastAsiaTheme="minorEastAsia" w:cstheme="minorEastAsia"/>
                <w:szCs w:val="21"/>
                <w:u w:val="single"/>
              </w:rPr>
              <w:t>遵义市红花岗区大兴路249号中国电信股份有限公司采购中心209会议室。</w:t>
            </w:r>
            <w:r>
              <w:rPr>
                <w:rFonts w:hint="eastAsia" w:cs="宋体" w:asciiTheme="minorEastAsia" w:hAnsiTheme="minorEastAsia" w:eastAsiaTheme="minorEastAsia"/>
                <w:szCs w:val="21"/>
              </w:rPr>
              <w:t>】</w:t>
            </w:r>
          </w:p>
        </w:tc>
      </w:tr>
      <w:tr w14:paraId="2AAF0F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1386420">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3.5.4</w:t>
            </w:r>
          </w:p>
        </w:tc>
        <w:tc>
          <w:tcPr>
            <w:tcW w:w="1844" w:type="dxa"/>
            <w:vAlign w:val="center"/>
          </w:tcPr>
          <w:p w14:paraId="2B65FCB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响应保证金不予退还的其他规定</w:t>
            </w:r>
          </w:p>
        </w:tc>
        <w:tc>
          <w:tcPr>
            <w:tcW w:w="5853" w:type="dxa"/>
            <w:vAlign w:val="center"/>
          </w:tcPr>
          <w:p w14:paraId="115D376F">
            <w:pPr>
              <w:autoSpaceDE w:val="0"/>
              <w:autoSpaceDN w:val="0"/>
              <w:spacing w:line="288" w:lineRule="auto"/>
              <w:ind w:firstLine="105" w:firstLineChars="50"/>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本条款增加以下规定：</w:t>
            </w:r>
          </w:p>
          <w:p w14:paraId="3D230656">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人在</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文件中提供虚假的文件和材料，意图骗取</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的。</w:t>
            </w:r>
          </w:p>
          <w:p w14:paraId="0AC76374">
            <w:pPr>
              <w:autoSpaceDE w:val="0"/>
              <w:autoSpaceDN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人相互串通</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或者与</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人串通</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人向</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人或者评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委员会成员行贿谋取</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的。</w:t>
            </w:r>
          </w:p>
          <w:p w14:paraId="6BC10BBB">
            <w:pPr>
              <w:autoSpaceDE w:val="0"/>
              <w:autoSpaceDN w:val="0"/>
              <w:rPr>
                <w:rFonts w:asciiTheme="minorEastAsia" w:hAnsiTheme="minorEastAsia" w:eastAsia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成交</w:t>
            </w:r>
            <w:r>
              <w:rPr>
                <w:rFonts w:hint="eastAsia" w:asciiTheme="minorEastAsia" w:hAnsiTheme="minorEastAsia" w:eastAsiaTheme="minorEastAsia" w:cstheme="minorEastAsia"/>
                <w:szCs w:val="21"/>
              </w:rPr>
              <w:t>人未能按照</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文件规定提交</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代理服务费的。</w:t>
            </w:r>
          </w:p>
        </w:tc>
      </w:tr>
      <w:tr w14:paraId="3BEF97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8F68BA6">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3.6.1</w:t>
            </w:r>
          </w:p>
        </w:tc>
        <w:tc>
          <w:tcPr>
            <w:tcW w:w="1844" w:type="dxa"/>
            <w:vAlign w:val="center"/>
          </w:tcPr>
          <w:p w14:paraId="45581DB8">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备选响应方案</w:t>
            </w:r>
          </w:p>
        </w:tc>
        <w:tc>
          <w:tcPr>
            <w:tcW w:w="5853" w:type="dxa"/>
            <w:vAlign w:val="center"/>
          </w:tcPr>
          <w:p w14:paraId="6079017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不允许</w:t>
            </w:r>
          </w:p>
          <w:p w14:paraId="1D3957F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□允许</w:t>
            </w:r>
          </w:p>
        </w:tc>
      </w:tr>
      <w:tr w14:paraId="72E60E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84EFD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3.7</w:t>
            </w:r>
          </w:p>
        </w:tc>
        <w:tc>
          <w:tcPr>
            <w:tcW w:w="1844" w:type="dxa"/>
            <w:vAlign w:val="center"/>
          </w:tcPr>
          <w:p w14:paraId="13F2608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响应文件的式样、密封和标记</w:t>
            </w:r>
          </w:p>
        </w:tc>
        <w:tc>
          <w:tcPr>
            <w:tcW w:w="5853" w:type="dxa"/>
            <w:vAlign w:val="center"/>
          </w:tcPr>
          <w:p w14:paraId="546CF45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【本询比项目采用电子询比方式，供应商应提交经电子采购系统成功上传的加密电子响应文件一份。】</w:t>
            </w:r>
          </w:p>
        </w:tc>
      </w:tr>
      <w:tr w14:paraId="31240C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ECA62A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3.8</w:t>
            </w:r>
          </w:p>
        </w:tc>
        <w:tc>
          <w:tcPr>
            <w:tcW w:w="1844" w:type="dxa"/>
            <w:vAlign w:val="center"/>
          </w:tcPr>
          <w:p w14:paraId="3538DDD1">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电子询比的响应文件上传形式</w:t>
            </w:r>
          </w:p>
        </w:tc>
        <w:tc>
          <w:tcPr>
            <w:tcW w:w="5853" w:type="dxa"/>
            <w:vAlign w:val="center"/>
          </w:tcPr>
          <w:p w14:paraId="61A279B5">
            <w:pPr>
              <w:autoSpaceDE w:val="0"/>
              <w:autoSpaceDN w:val="0"/>
              <w:rPr>
                <w:rFonts w:asciiTheme="minorEastAsia" w:hAnsiTheme="minorEastAsia" w:eastAsiaTheme="minorEastAsia"/>
              </w:rPr>
            </w:pPr>
            <w:r>
              <w:rPr>
                <w:rFonts w:hint="eastAsia" w:asciiTheme="minorEastAsia" w:hAnsiTheme="minorEastAsia" w:eastAsiaTheme="minorEastAsia"/>
                <w:szCs w:val="21"/>
              </w:rPr>
              <w:t>供应商</w:t>
            </w:r>
            <w:r>
              <w:rPr>
                <w:rFonts w:hint="eastAsia" w:asciiTheme="minorEastAsia" w:hAnsiTheme="minorEastAsia" w:eastAsiaTheme="minorEastAsia"/>
              </w:rPr>
              <w:t>须进入</w:t>
            </w:r>
            <w:r>
              <w:rPr>
                <w:rFonts w:hint="eastAsia" w:asciiTheme="minorEastAsia" w:hAnsiTheme="minorEastAsia" w:eastAsiaTheme="minorEastAsia"/>
                <w:szCs w:val="21"/>
              </w:rPr>
              <w:t>中国电信电子采购系统</w:t>
            </w:r>
            <w:r>
              <w:rPr>
                <w:rFonts w:hint="eastAsia" w:asciiTheme="minorEastAsia" w:hAnsiTheme="minorEastAsia" w:eastAsiaTheme="minorEastAsia"/>
              </w:rPr>
              <w:t>并在提交截止时间前上传加密电子响应文件。供应商可进入电子采购系统查看电子响应文件上传结果，同时可在响应文件开启前进行</w:t>
            </w:r>
            <w:r>
              <w:rPr>
                <w:rFonts w:asciiTheme="minorEastAsia" w:hAnsiTheme="minorEastAsia" w:eastAsiaTheme="minorEastAsia"/>
              </w:rPr>
              <w:t>CA证书</w:t>
            </w:r>
            <w:r>
              <w:rPr>
                <w:rFonts w:hint="eastAsia" w:asciiTheme="minorEastAsia" w:hAnsiTheme="minorEastAsia" w:eastAsiaTheme="minorEastAsia"/>
              </w:rPr>
              <w:t>匹配验证。</w:t>
            </w:r>
          </w:p>
        </w:tc>
      </w:tr>
      <w:tr w14:paraId="5A173E5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EFA3B8C">
            <w:pPr>
              <w:autoSpaceDE w:val="0"/>
              <w:autoSpaceDN w:val="0"/>
              <w:jc w:val="center"/>
              <w:rPr>
                <w:rFonts w:cs="宋体" w:asciiTheme="minorEastAsia" w:hAnsiTheme="minorEastAsia" w:eastAsiaTheme="minorEastAsia"/>
                <w:color w:val="auto"/>
                <w:szCs w:val="21"/>
                <w:u w:val="none"/>
              </w:rPr>
            </w:pPr>
            <w:r>
              <w:rPr>
                <w:rFonts w:hint="eastAsia" w:cs="宋体" w:asciiTheme="minorEastAsia" w:hAnsiTheme="minorEastAsia" w:eastAsiaTheme="minorEastAsia"/>
                <w:color w:val="auto"/>
                <w:szCs w:val="21"/>
                <w:u w:val="none"/>
              </w:rPr>
              <w:t>4.1.1</w:t>
            </w:r>
          </w:p>
        </w:tc>
        <w:tc>
          <w:tcPr>
            <w:tcW w:w="1844" w:type="dxa"/>
            <w:vAlign w:val="center"/>
          </w:tcPr>
          <w:p w14:paraId="70CB50CF">
            <w:pPr>
              <w:autoSpaceDE w:val="0"/>
              <w:autoSpaceDN w:val="0"/>
              <w:rPr>
                <w:rFonts w:cs="宋体" w:asciiTheme="minorEastAsia" w:hAnsiTheme="minorEastAsia" w:eastAsiaTheme="minorEastAsia"/>
                <w:color w:val="auto"/>
                <w:szCs w:val="21"/>
                <w:u w:val="none"/>
              </w:rPr>
            </w:pPr>
            <w:r>
              <w:rPr>
                <w:rFonts w:hint="eastAsia" w:asciiTheme="minorEastAsia" w:hAnsiTheme="minorEastAsia" w:eastAsiaTheme="minorEastAsia"/>
                <w:color w:val="auto"/>
                <w:u w:val="none"/>
              </w:rPr>
              <w:t>响应文件提交截止时间</w:t>
            </w:r>
          </w:p>
        </w:tc>
        <w:tc>
          <w:tcPr>
            <w:tcW w:w="5853" w:type="dxa"/>
            <w:vAlign w:val="center"/>
          </w:tcPr>
          <w:p w14:paraId="42E80511">
            <w:pPr>
              <w:autoSpaceDE w:val="0"/>
              <w:autoSpaceDN w:val="0"/>
              <w:rPr>
                <w:rFonts w:hint="default" w:cs="宋体" w:asciiTheme="minorEastAsia" w:hAnsiTheme="minorEastAsia" w:eastAsiaTheme="minorEastAsia"/>
                <w:color w:val="auto"/>
                <w:szCs w:val="21"/>
                <w:u w:val="none"/>
                <w:lang w:val="en-US" w:eastAsia="zh-CN"/>
              </w:rPr>
            </w:pPr>
            <w:r>
              <w:rPr>
                <w:rFonts w:hint="eastAsia" w:asciiTheme="minorEastAsia" w:hAnsiTheme="minorEastAsia" w:eastAsiaTheme="minorEastAsia"/>
              </w:rPr>
              <w:t>详见第一章【询比公告】</w:t>
            </w:r>
          </w:p>
        </w:tc>
      </w:tr>
      <w:tr w14:paraId="507D472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48C0197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4.1.2</w:t>
            </w:r>
          </w:p>
        </w:tc>
        <w:tc>
          <w:tcPr>
            <w:tcW w:w="1844" w:type="dxa"/>
            <w:vAlign w:val="center"/>
          </w:tcPr>
          <w:p w14:paraId="0C9D3C4E">
            <w:pPr>
              <w:autoSpaceDE w:val="0"/>
              <w:autoSpaceDN w:val="0"/>
              <w:rPr>
                <w:rFonts w:asciiTheme="minorEastAsia" w:hAnsiTheme="minorEastAsia" w:eastAsiaTheme="minorEastAsia"/>
              </w:rPr>
            </w:pPr>
            <w:r>
              <w:rPr>
                <w:rFonts w:hint="eastAsia" w:asciiTheme="minorEastAsia" w:hAnsiTheme="minorEastAsia" w:eastAsiaTheme="minorEastAsia"/>
              </w:rPr>
              <w:t>响应文件提交地点</w:t>
            </w:r>
          </w:p>
        </w:tc>
        <w:tc>
          <w:tcPr>
            <w:tcW w:w="5853" w:type="dxa"/>
            <w:vAlign w:val="center"/>
          </w:tcPr>
          <w:p w14:paraId="071F228E">
            <w:pPr>
              <w:autoSpaceDE w:val="0"/>
              <w:autoSpaceDN w:val="0"/>
              <w:rPr>
                <w:rFonts w:cs="宋体" w:asciiTheme="minorEastAsia" w:hAnsiTheme="minorEastAsia" w:eastAsiaTheme="minorEastAsia"/>
                <w:szCs w:val="21"/>
              </w:rPr>
            </w:pPr>
            <w:r>
              <w:rPr>
                <w:rFonts w:hint="eastAsia" w:asciiTheme="minorEastAsia" w:hAnsiTheme="minorEastAsia" w:eastAsiaTheme="minorEastAsia"/>
                <w:szCs w:val="21"/>
                <w:u w:val="single"/>
              </w:rPr>
              <w:t>【通过中国电信电子采购系统提交】</w:t>
            </w:r>
          </w:p>
        </w:tc>
      </w:tr>
      <w:tr w14:paraId="1D06960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11E708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4.1.3</w:t>
            </w:r>
          </w:p>
        </w:tc>
        <w:tc>
          <w:tcPr>
            <w:tcW w:w="1844" w:type="dxa"/>
            <w:vAlign w:val="center"/>
          </w:tcPr>
          <w:p w14:paraId="37D036C6">
            <w:pPr>
              <w:autoSpaceDE w:val="0"/>
              <w:autoSpaceDN w:val="0"/>
              <w:rPr>
                <w:rFonts w:asciiTheme="minorEastAsia" w:hAnsiTheme="minorEastAsia" w:eastAsiaTheme="minorEastAsia"/>
              </w:rPr>
            </w:pPr>
            <w:r>
              <w:rPr>
                <w:rFonts w:hint="eastAsia" w:asciiTheme="minorEastAsia" w:hAnsiTheme="minorEastAsia" w:eastAsiaTheme="minorEastAsia"/>
              </w:rPr>
              <w:t>响应文件签收凭证</w:t>
            </w:r>
          </w:p>
        </w:tc>
        <w:tc>
          <w:tcPr>
            <w:tcW w:w="5853" w:type="dxa"/>
            <w:vAlign w:val="center"/>
          </w:tcPr>
          <w:p w14:paraId="49D21F46">
            <w:pPr>
              <w:autoSpaceDE w:val="0"/>
              <w:autoSpaceDN w:val="0"/>
              <w:rPr>
                <w:rFonts w:asciiTheme="minorEastAsia" w:hAnsiTheme="minorEastAsia" w:eastAsiaTheme="minorEastAsia"/>
                <w:szCs w:val="21"/>
                <w:u w:val="single"/>
              </w:rPr>
            </w:pPr>
            <w:r>
              <w:rPr>
                <w:rFonts w:hint="eastAsia" w:asciiTheme="minorEastAsia" w:hAnsiTheme="minorEastAsia" w:eastAsiaTheme="minorEastAsia"/>
                <w:szCs w:val="21"/>
                <w:u w:val="single"/>
              </w:rPr>
              <w:t>【供应商通过电子采购系统上传加密电子响应文件后，电子采购系统反馈响应文件上传结果。】</w:t>
            </w:r>
          </w:p>
        </w:tc>
      </w:tr>
      <w:tr w14:paraId="56E48D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0B5421D">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4.1.4</w:t>
            </w:r>
          </w:p>
        </w:tc>
        <w:tc>
          <w:tcPr>
            <w:tcW w:w="1844" w:type="dxa"/>
            <w:vAlign w:val="center"/>
          </w:tcPr>
          <w:p w14:paraId="64B60A48">
            <w:pPr>
              <w:autoSpaceDE w:val="0"/>
              <w:autoSpaceDN w:val="0"/>
              <w:rPr>
                <w:rFonts w:asciiTheme="minorEastAsia" w:hAnsiTheme="minorEastAsia" w:eastAsiaTheme="minorEastAsia"/>
              </w:rPr>
            </w:pPr>
            <w:r>
              <w:rPr>
                <w:rFonts w:hint="eastAsia" w:asciiTheme="minorEastAsia" w:hAnsiTheme="minorEastAsia" w:eastAsiaTheme="minorEastAsia"/>
              </w:rPr>
              <w:t>响应文件退还</w:t>
            </w:r>
          </w:p>
        </w:tc>
        <w:tc>
          <w:tcPr>
            <w:tcW w:w="5853" w:type="dxa"/>
            <w:vAlign w:val="center"/>
          </w:tcPr>
          <w:p w14:paraId="36B54B64">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lang w:eastAsia="zh-CN"/>
              </w:rPr>
              <w:t>☑</w:t>
            </w:r>
            <w:r>
              <w:rPr>
                <w:rFonts w:hint="eastAsia" w:cs="宋体" w:asciiTheme="minorEastAsia" w:hAnsiTheme="minorEastAsia" w:eastAsiaTheme="minorEastAsia"/>
                <w:szCs w:val="21"/>
              </w:rPr>
              <w:t>不退还</w:t>
            </w:r>
          </w:p>
          <w:p w14:paraId="641A0FFF">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□退还，</w:t>
            </w:r>
            <w:r>
              <w:rPr>
                <w:rFonts w:hint="eastAsia" w:asciiTheme="minorEastAsia" w:hAnsiTheme="minorEastAsia" w:eastAsiaTheme="minorEastAsia"/>
                <w:szCs w:val="21"/>
              </w:rPr>
              <w:t>【</w:t>
            </w:r>
            <w:r>
              <w:rPr>
                <w:rFonts w:hint="eastAsia" w:asciiTheme="minorEastAsia" w:hAnsiTheme="minorEastAsia" w:eastAsiaTheme="minorEastAsia"/>
                <w:szCs w:val="21"/>
                <w:u w:val="single"/>
              </w:rPr>
              <w:t>响应文件退还的具体要求</w:t>
            </w:r>
            <w:r>
              <w:rPr>
                <w:rFonts w:hint="eastAsia" w:asciiTheme="minorEastAsia" w:hAnsiTheme="minorEastAsia" w:eastAsiaTheme="minorEastAsia"/>
                <w:szCs w:val="21"/>
              </w:rPr>
              <w:t>】</w:t>
            </w:r>
          </w:p>
        </w:tc>
      </w:tr>
      <w:tr w14:paraId="7BB719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90A602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4.1.6</w:t>
            </w:r>
          </w:p>
        </w:tc>
        <w:tc>
          <w:tcPr>
            <w:tcW w:w="1844" w:type="dxa"/>
            <w:vAlign w:val="center"/>
          </w:tcPr>
          <w:p w14:paraId="3E189F73">
            <w:pPr>
              <w:autoSpaceDE w:val="0"/>
              <w:autoSpaceDN w:val="0"/>
              <w:rPr>
                <w:rFonts w:asciiTheme="minorEastAsia" w:hAnsiTheme="minorEastAsia" w:eastAsiaTheme="minorEastAsia"/>
              </w:rPr>
            </w:pPr>
            <w:r>
              <w:rPr>
                <w:rFonts w:hint="eastAsia" w:asciiTheme="minorEastAsia" w:hAnsiTheme="minorEastAsia" w:eastAsiaTheme="minorEastAsia"/>
              </w:rPr>
              <w:t>提交响应文件的供应商不足三家的处理原则</w:t>
            </w:r>
          </w:p>
        </w:tc>
        <w:tc>
          <w:tcPr>
            <w:tcW w:w="5853" w:type="dxa"/>
            <w:vAlign w:val="center"/>
          </w:tcPr>
          <w:p w14:paraId="083E7C87">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一、获取文件、提交响应文件的供应商不足 3 家的，存在影响公平竞争的不合理要求或条件的，采取措施后重新询比，重新询比仍不足 3 家的，2 家可以继续评审，1 家可以转为直接采购；不存在相关问题的，2 家可以继续评审、1 家可以转为直接采购，或重新组织询比，继续评审或转为直接采购需记录分析论证过程和结论。</w:t>
            </w:r>
          </w:p>
          <w:p w14:paraId="51A9D758">
            <w:pPr>
              <w:autoSpaceDE w:val="0"/>
              <w:autoSpaceDN w:val="0"/>
              <w:rPr>
                <w:rFonts w:cs="宋体" w:asciiTheme="minorEastAsia" w:hAnsiTheme="minorEastAsia"/>
                <w:szCs w:val="21"/>
              </w:rPr>
            </w:pPr>
            <w:r>
              <w:rPr>
                <w:rFonts w:hint="eastAsia" w:cs="宋体" w:asciiTheme="minorEastAsia" w:hAnsiTheme="minorEastAsia" w:eastAsiaTheme="minorEastAsia"/>
                <w:szCs w:val="21"/>
              </w:rPr>
              <w:t>二、有效响应供应商不足 3 家的，经评审委员会认定具备竞争性，可以继续评审,评审委员会认定不具备竞争性的，应否决全部响应。需在评审报告中如实记载竞争性论证过程和结果。</w:t>
            </w:r>
          </w:p>
        </w:tc>
      </w:tr>
      <w:tr w14:paraId="3D4715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3A513ECA">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4.1.7</w:t>
            </w:r>
          </w:p>
        </w:tc>
        <w:tc>
          <w:tcPr>
            <w:tcW w:w="1844" w:type="dxa"/>
            <w:vAlign w:val="center"/>
          </w:tcPr>
          <w:p w14:paraId="59E2933D">
            <w:pPr>
              <w:autoSpaceDE w:val="0"/>
              <w:autoSpaceDN w:val="0"/>
              <w:rPr>
                <w:rFonts w:asciiTheme="minorEastAsia" w:hAnsiTheme="minorEastAsia" w:eastAsiaTheme="minorEastAsia"/>
              </w:rPr>
            </w:pPr>
            <w:r>
              <w:rPr>
                <w:rFonts w:hint="eastAsia" w:asciiTheme="minorEastAsia" w:hAnsiTheme="minorEastAsia" w:eastAsiaTheme="minorEastAsia"/>
              </w:rPr>
              <w:t>电子询比响应文件提交异常的处理方式</w:t>
            </w:r>
          </w:p>
        </w:tc>
        <w:tc>
          <w:tcPr>
            <w:tcW w:w="5853" w:type="dxa"/>
            <w:vAlign w:val="center"/>
          </w:tcPr>
          <w:p w14:paraId="64376C6A">
            <w:pPr>
              <w:rPr>
                <w:rFonts w:asciiTheme="minorEastAsia" w:hAnsiTheme="minorEastAsia" w:eastAsiaTheme="minorEastAsia"/>
                <w:szCs w:val="21"/>
              </w:rPr>
            </w:pPr>
            <w:r>
              <w:rPr>
                <w:rFonts w:hint="eastAsia" w:cs="宋体" w:asciiTheme="minorEastAsia" w:hAnsiTheme="minorEastAsia" w:eastAsiaTheme="minorEastAsia"/>
                <w:szCs w:val="21"/>
              </w:rPr>
              <w:t>供应商应当在响应截止时间前完成响应文件的上传，并可以补充、修改或者撤回已提交的响应文件。响应截止时间前未完成响应文件上传的，视为撤回响应文件。响应截止时间后送达的响应文件，中国电信电子采购系统应当拒收。</w:t>
            </w:r>
          </w:p>
        </w:tc>
      </w:tr>
      <w:tr w14:paraId="785F35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893" w:hRule="atLeast"/>
        </w:trPr>
        <w:tc>
          <w:tcPr>
            <w:tcW w:w="840" w:type="dxa"/>
            <w:vAlign w:val="center"/>
          </w:tcPr>
          <w:p w14:paraId="6B1ECD0C">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4.2.1</w:t>
            </w:r>
          </w:p>
        </w:tc>
        <w:tc>
          <w:tcPr>
            <w:tcW w:w="1844" w:type="dxa"/>
            <w:vAlign w:val="center"/>
          </w:tcPr>
          <w:p w14:paraId="17AD38AD">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已提交的响应文件的修改或者撤回</w:t>
            </w:r>
          </w:p>
        </w:tc>
        <w:tc>
          <w:tcPr>
            <w:tcW w:w="5853" w:type="dxa"/>
            <w:vAlign w:val="center"/>
          </w:tcPr>
          <w:p w14:paraId="6B640D4D">
            <w:pPr>
              <w:rPr>
                <w:rFonts w:asciiTheme="minorEastAsia" w:hAnsiTheme="minorEastAsia" w:eastAsiaTheme="minorEastAsia"/>
                <w:szCs w:val="21"/>
                <w:u w:val="single"/>
              </w:rPr>
            </w:pPr>
            <w:r>
              <w:rPr>
                <w:rFonts w:hint="eastAsia" w:asciiTheme="minorEastAsia" w:hAnsiTheme="minorEastAsia" w:eastAsiaTheme="minorEastAsia"/>
                <w:szCs w:val="21"/>
              </w:rPr>
              <w:t>【供应商可以进入</w:t>
            </w:r>
            <w:r>
              <w:rPr>
                <w:rFonts w:hint="eastAsia" w:asciiTheme="minorEastAsia" w:hAnsiTheme="minorEastAsia" w:eastAsiaTheme="minorEastAsia"/>
              </w:rPr>
              <w:t>电子采购系统</w:t>
            </w:r>
            <w:r>
              <w:rPr>
                <w:rFonts w:hint="eastAsia" w:asciiTheme="minorEastAsia" w:hAnsiTheme="minorEastAsia" w:eastAsiaTheme="minorEastAsia"/>
                <w:szCs w:val="21"/>
              </w:rPr>
              <w:t>点击撤回电子响应文件，</w:t>
            </w:r>
            <w:r>
              <w:rPr>
                <w:rFonts w:hint="eastAsia" w:asciiTheme="minorEastAsia" w:hAnsiTheme="minorEastAsia" w:eastAsiaTheme="minorEastAsia"/>
              </w:rPr>
              <w:t>电子采购系统</w:t>
            </w:r>
            <w:r>
              <w:rPr>
                <w:rFonts w:hint="eastAsia" w:asciiTheme="minorEastAsia" w:hAnsiTheme="minorEastAsia" w:eastAsiaTheme="minorEastAsia"/>
                <w:szCs w:val="21"/>
              </w:rPr>
              <w:t>将已上传电子响应文件删除，供应商可重新上传电子响应文件。】</w:t>
            </w:r>
          </w:p>
        </w:tc>
      </w:tr>
      <w:tr w14:paraId="336AE5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77989E93">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5.1</w:t>
            </w:r>
          </w:p>
        </w:tc>
        <w:tc>
          <w:tcPr>
            <w:tcW w:w="1844" w:type="dxa"/>
            <w:vAlign w:val="center"/>
          </w:tcPr>
          <w:p w14:paraId="350865D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响应文件开启时间和地点</w:t>
            </w:r>
          </w:p>
        </w:tc>
        <w:tc>
          <w:tcPr>
            <w:tcW w:w="5853" w:type="dxa"/>
            <w:vAlign w:val="center"/>
          </w:tcPr>
          <w:p w14:paraId="1E36B28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【响应文件提交截止同一时间通过中国电信电子采购系统开启响应文件】</w:t>
            </w:r>
          </w:p>
        </w:tc>
      </w:tr>
      <w:tr w14:paraId="7032DF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6FF4C6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5.3</w:t>
            </w:r>
          </w:p>
        </w:tc>
        <w:tc>
          <w:tcPr>
            <w:tcW w:w="1844" w:type="dxa"/>
            <w:vAlign w:val="center"/>
          </w:tcPr>
          <w:p w14:paraId="2B23F91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响应文件开启现场的异议</w:t>
            </w:r>
          </w:p>
        </w:tc>
        <w:tc>
          <w:tcPr>
            <w:tcW w:w="5853" w:type="dxa"/>
            <w:vAlign w:val="center"/>
          </w:tcPr>
          <w:p w14:paraId="1E16EA9A">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 xml:space="preserve">【通过中国电信电子采购系统提出】 </w:t>
            </w:r>
          </w:p>
        </w:tc>
      </w:tr>
      <w:tr w14:paraId="23706E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6AAA8045">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5.4</w:t>
            </w:r>
          </w:p>
        </w:tc>
        <w:tc>
          <w:tcPr>
            <w:tcW w:w="1844" w:type="dxa"/>
            <w:vAlign w:val="center"/>
          </w:tcPr>
          <w:p w14:paraId="2A07CCEE">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电子询比的其他要求及异常处理</w:t>
            </w:r>
          </w:p>
        </w:tc>
        <w:tc>
          <w:tcPr>
            <w:tcW w:w="5853" w:type="dxa"/>
            <w:vAlign w:val="center"/>
          </w:tcPr>
          <w:p w14:paraId="084D9597">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【电子响应文件由采购人</w:t>
            </w:r>
            <w:r>
              <w:rPr>
                <w:rFonts w:hint="eastAsia" w:cs="宋体" w:asciiTheme="minorEastAsia" w:hAnsiTheme="minorEastAsia" w:eastAsiaTheme="minorEastAsia"/>
                <w:szCs w:val="21"/>
              </w:rPr>
              <w:t>/采购代理机构在提交截止时间后统一解密，供应商无需进行解密操作。因供应商原因造成响应文件未解密的，视为撤销其响应文件；因供应商之外的原因造成响应文件未解密的，视为撤回其响应文件。部分供应商的响应文件未解密的，其他供应商的响应文件的开启可以继续进行。</w:t>
            </w:r>
            <w:r>
              <w:rPr>
                <w:rFonts w:hint="eastAsia" w:asciiTheme="minorEastAsia" w:hAnsiTheme="minorEastAsia" w:eastAsiaTheme="minorEastAsia"/>
                <w:szCs w:val="21"/>
              </w:rPr>
              <w:t>】</w:t>
            </w:r>
          </w:p>
        </w:tc>
      </w:tr>
      <w:tr w14:paraId="710FE9A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2B3E1BF8">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6.4 </w:t>
            </w:r>
          </w:p>
        </w:tc>
        <w:tc>
          <w:tcPr>
            <w:tcW w:w="1844" w:type="dxa"/>
            <w:vAlign w:val="center"/>
          </w:tcPr>
          <w:p w14:paraId="08C3B81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成交候选人推荐原则</w:t>
            </w:r>
          </w:p>
        </w:tc>
        <w:tc>
          <w:tcPr>
            <w:tcW w:w="5853" w:type="dxa"/>
            <w:vAlign w:val="center"/>
          </w:tcPr>
          <w:p w14:paraId="577ADACB">
            <w:pPr>
              <w:autoSpaceDE w:val="0"/>
              <w:autoSpaceDN w:val="0"/>
              <w:rPr>
                <w:rFonts w:asciiTheme="minorEastAsia" w:hAnsiTheme="minorEastAsia" w:eastAsiaTheme="minorEastAsia"/>
                <w:szCs w:val="21"/>
              </w:rPr>
            </w:pPr>
            <w:bookmarkStart w:id="63" w:name="_Toc346159396"/>
            <w:r>
              <w:rPr>
                <w:rFonts w:hint="eastAsia" w:asciiTheme="minorEastAsia" w:hAnsiTheme="minorEastAsia" w:eastAsiaTheme="minorEastAsia"/>
                <w:szCs w:val="21"/>
              </w:rPr>
              <w:t>推荐原则如下：</w:t>
            </w:r>
            <w:bookmarkEnd w:id="63"/>
          </w:p>
          <w:p w14:paraId="3D756C26">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1、如有效响应人数&gt;2，根据综合评分由高到低推荐第1-2名有效响应人为成交候选人；</w:t>
            </w:r>
          </w:p>
          <w:p w14:paraId="594DE5A3">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2、如有效响应人数≤2，根据综合评分由高到低推荐所有有效响应人为成交候选人。</w:t>
            </w:r>
          </w:p>
          <w:p w14:paraId="1F2888A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得分相同的处理办法：</w:t>
            </w:r>
            <w:r>
              <w:rPr>
                <w:rFonts w:hint="eastAsia" w:ascii="宋体" w:hAnsi="宋体" w:eastAsia="宋体" w:cs="宋体"/>
                <w:szCs w:val="21"/>
              </w:rPr>
              <w:t>综合得分相同的，技术得分高者排名优先；技术得分相同的，价格得分高者排名优先；价格得分相同的，商务得分高者排名优先；商务得分相同的，业绩累计</w:t>
            </w:r>
            <w:r>
              <w:rPr>
                <w:rFonts w:hint="eastAsia" w:ascii="宋体" w:hAnsi="宋体" w:cs="宋体"/>
                <w:szCs w:val="21"/>
                <w:lang w:val="en-US" w:eastAsia="zh-CN"/>
              </w:rPr>
              <w:t>含税</w:t>
            </w:r>
            <w:r>
              <w:rPr>
                <w:rFonts w:hint="eastAsia" w:ascii="宋体" w:hAnsi="宋体" w:eastAsia="宋体" w:cs="宋体"/>
                <w:szCs w:val="21"/>
              </w:rPr>
              <w:t>金额高者排名优先。</w:t>
            </w:r>
          </w:p>
        </w:tc>
      </w:tr>
      <w:tr w14:paraId="62A609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0A847EB9">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7.1.2</w:t>
            </w:r>
          </w:p>
        </w:tc>
        <w:tc>
          <w:tcPr>
            <w:tcW w:w="1844" w:type="dxa"/>
            <w:vAlign w:val="center"/>
          </w:tcPr>
          <w:p w14:paraId="17FE2FD7">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成交结果的异议</w:t>
            </w:r>
          </w:p>
        </w:tc>
        <w:tc>
          <w:tcPr>
            <w:tcW w:w="5853" w:type="dxa"/>
            <w:vAlign w:val="center"/>
          </w:tcPr>
          <w:p w14:paraId="0D7DFA2A">
            <w:pPr>
              <w:wordWrap w:val="0"/>
              <w:autoSpaceDE w:val="0"/>
              <w:autoSpaceDN w:val="0"/>
              <w:rPr>
                <w:rFonts w:asciiTheme="minorEastAsia" w:hAnsiTheme="minorEastAsia" w:eastAsiaTheme="minorEastAsia"/>
              </w:rPr>
            </w:pPr>
            <w:r>
              <w:rPr>
                <w:rFonts w:hint="eastAsia" w:asciiTheme="minorEastAsia" w:hAnsiTheme="minorEastAsia" w:eastAsiaTheme="minorEastAsia"/>
              </w:rPr>
              <w:t>响应供应商或者其他利害关系人对评审结果有异议的，应当在成交候选人公示期内【登录</w:t>
            </w:r>
            <w:r>
              <w:t>中国电信阳光采购网</w:t>
            </w:r>
            <w:r>
              <w:rPr>
                <w:rFonts w:hint="eastAsia"/>
              </w:rPr>
              <w:t>（</w:t>
            </w:r>
            <w:r>
              <w:rPr>
                <w:rFonts w:asciiTheme="minorEastAsia" w:hAnsiTheme="minorEastAsia" w:eastAsiaTheme="minorEastAsia"/>
              </w:rPr>
              <w:t>https://caigou.chinatelecom.com.cn</w:t>
            </w:r>
            <w:r>
              <w:rPr>
                <w:rFonts w:hint="eastAsia"/>
              </w:rPr>
              <w:t>）</w:t>
            </w:r>
            <w:r>
              <w:rPr>
                <w:rFonts w:hint="eastAsia" w:asciiTheme="minorEastAsia" w:hAnsiTheme="minorEastAsia" w:eastAsiaTheme="minorEastAsia"/>
              </w:rPr>
              <w:t>后，通过“招投标-采购异议-提出异议”模块提出】。采购人将在收到异议之日起 3日内作出答复；作出答复前，将暂停询比活动。已作出明确答复，且无新的事实证据，就同一事项反复提出异议的，不予受理。</w:t>
            </w:r>
          </w:p>
        </w:tc>
      </w:tr>
      <w:tr w14:paraId="7D9AABA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6C0208D">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.1</w:t>
            </w:r>
          </w:p>
        </w:tc>
        <w:tc>
          <w:tcPr>
            <w:tcW w:w="1844" w:type="dxa"/>
            <w:vAlign w:val="center"/>
          </w:tcPr>
          <w:p w14:paraId="63AD769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成交供应商数量</w:t>
            </w:r>
          </w:p>
        </w:tc>
        <w:tc>
          <w:tcPr>
            <w:tcW w:w="5853" w:type="dxa"/>
            <w:vAlign w:val="center"/>
          </w:tcPr>
          <w:p w14:paraId="10AAA578">
            <w:pPr>
              <w:autoSpaceDE w:val="0"/>
              <w:autoSpaceDN w:val="0"/>
              <w:rPr>
                <w:rFonts w:cs="宋体" w:asciiTheme="minorEastAsia" w:hAnsiTheme="minorEastAsia" w:eastAsiaTheme="minorEastAsia"/>
                <w:szCs w:val="21"/>
              </w:rPr>
            </w:pPr>
            <w:r>
              <w:rPr>
                <w:rFonts w:hint="eastAsia" w:asciiTheme="minorEastAsia" w:hAnsiTheme="minorEastAsia" w:eastAsiaTheme="minorEastAsia"/>
              </w:rPr>
              <w:t>成交供应商数量：</w:t>
            </w:r>
            <w:r>
              <w:rPr>
                <w:rFonts w:hint="eastAsia" w:asciiTheme="minorEastAsia" w:hAnsiTheme="minorEastAsia" w:eastAsiaTheme="minorEastAsia"/>
                <w:szCs w:val="21"/>
              </w:rPr>
              <w:t>【</w:t>
            </w:r>
            <w:r>
              <w:rPr>
                <w:rFonts w:hint="eastAsia" w:asciiTheme="minorEastAsia" w:hAnsiTheme="minorEastAsia" w:eastAsiaTheme="minorEastAsia"/>
                <w:szCs w:val="21"/>
                <w:u w:val="single"/>
                <w:lang w:val="en-US" w:eastAsia="zh-CN"/>
              </w:rPr>
              <w:t>1</w:t>
            </w:r>
            <w:r>
              <w:rPr>
                <w:rFonts w:hint="eastAsia" w:asciiTheme="minorEastAsia" w:hAnsiTheme="minorEastAsia" w:eastAsiaTheme="minorEastAsia"/>
                <w:szCs w:val="21"/>
              </w:rPr>
              <w:t>】家</w:t>
            </w:r>
          </w:p>
        </w:tc>
      </w:tr>
      <w:tr w14:paraId="6A8230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31B9302B">
            <w:pPr>
              <w:autoSpaceDE w:val="0"/>
              <w:autoSpaceDN w:val="0"/>
              <w:jc w:val="center"/>
              <w:rPr>
                <w:rFonts w:cs="宋体" w:asciiTheme="minorEastAsia" w:hAnsiTheme="minorEastAsia" w:eastAsiaTheme="minorEastAsia"/>
                <w:szCs w:val="21"/>
              </w:rPr>
            </w:pPr>
            <w:r>
              <w:rPr>
                <w:rFonts w:cs="宋体" w:asciiTheme="minorEastAsia" w:hAnsiTheme="minorEastAsia" w:eastAsiaTheme="minorEastAsia"/>
                <w:szCs w:val="21"/>
              </w:rPr>
              <w:t>7.</w:t>
            </w:r>
            <w:r>
              <w:rPr>
                <w:rFonts w:hint="eastAsia" w:cs="宋体" w:asciiTheme="minorEastAsia" w:hAnsiTheme="minorEastAsia" w:eastAsiaTheme="minorEastAsia"/>
                <w:szCs w:val="21"/>
              </w:rPr>
              <w:t>2</w:t>
            </w:r>
            <w:r>
              <w:rPr>
                <w:rFonts w:cs="宋体" w:asciiTheme="minorEastAsia" w:hAnsiTheme="minorEastAsia" w:eastAsiaTheme="minorEastAsia"/>
                <w:szCs w:val="21"/>
              </w:rPr>
              <w:t>.2</w:t>
            </w:r>
          </w:p>
        </w:tc>
        <w:tc>
          <w:tcPr>
            <w:tcW w:w="1844" w:type="dxa"/>
            <w:vAlign w:val="center"/>
          </w:tcPr>
          <w:p w14:paraId="2879A223">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成交原则</w:t>
            </w:r>
          </w:p>
        </w:tc>
        <w:tc>
          <w:tcPr>
            <w:tcW w:w="5853" w:type="dxa"/>
            <w:vAlign w:val="center"/>
          </w:tcPr>
          <w:p w14:paraId="5D4DDB40">
            <w:pPr>
              <w:autoSpaceDE w:val="0"/>
              <w:autoSpaceDN w:val="0"/>
              <w:rPr>
                <w:rFonts w:asciiTheme="minorEastAsia" w:hAnsiTheme="minorEastAsia" w:eastAsiaTheme="minorEastAsia"/>
                <w:szCs w:val="21"/>
              </w:rPr>
            </w:pPr>
            <w:r>
              <w:rPr>
                <w:rFonts w:hint="eastAsia" w:asciiTheme="minorEastAsia" w:hAnsiTheme="minorEastAsia" w:eastAsiaTheme="minorEastAsia"/>
                <w:szCs w:val="21"/>
              </w:rPr>
              <w:t>成交原则如下：</w:t>
            </w:r>
          </w:p>
          <w:p w14:paraId="104493DC">
            <w:pPr>
              <w:autoSpaceDE w:val="0"/>
              <w:autoSpaceDN w:val="0"/>
              <w:rPr>
                <w:rFonts w:hint="eastAsia" w:cs="宋体" w:asciiTheme="minorEastAsia" w:hAnsiTheme="minorEastAsia" w:eastAsiaTheme="minorEastAsia"/>
                <w:szCs w:val="21"/>
              </w:rPr>
            </w:pPr>
            <w:r>
              <w:rPr>
                <w:rFonts w:hint="eastAsia" w:cs="宋体" w:asciiTheme="minorEastAsia" w:hAnsiTheme="minorEastAsia" w:eastAsiaTheme="minorEastAsia"/>
                <w:szCs w:val="21"/>
              </w:rPr>
              <w:t>1、成交人数量1人，采购人根据评审委员会推荐的排名第一的成交候选人确定；</w:t>
            </w:r>
          </w:p>
          <w:p w14:paraId="0EE10B7B">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2、出现成交人放弃成交或被取消成交资格时，采购人可按顺序递补（有其他成交候选人）或重新采购。</w:t>
            </w:r>
          </w:p>
        </w:tc>
      </w:tr>
      <w:tr w14:paraId="2D5996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F867951">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7.2.3</w:t>
            </w:r>
          </w:p>
        </w:tc>
        <w:tc>
          <w:tcPr>
            <w:tcW w:w="1844" w:type="dxa"/>
            <w:vAlign w:val="center"/>
          </w:tcPr>
          <w:p w14:paraId="04E8D2E0">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确定成交供应商的特殊情形</w:t>
            </w:r>
          </w:p>
        </w:tc>
        <w:tc>
          <w:tcPr>
            <w:tcW w:w="5853" w:type="dxa"/>
            <w:vAlign w:val="center"/>
          </w:tcPr>
          <w:p w14:paraId="690AD4FD">
            <w:pPr>
              <w:wordWrap w:val="0"/>
              <w:autoSpaceDE w:val="0"/>
              <w:autoSpaceDN w:val="0"/>
              <w:rPr>
                <w:rFonts w:asciiTheme="minorEastAsia" w:hAnsiTheme="minorEastAsia" w:eastAsiaTheme="minorEastAsia"/>
                <w:szCs w:val="21"/>
              </w:rPr>
            </w:pPr>
            <w:r>
              <w:rPr>
                <w:rFonts w:hint="eastAsia" w:asciiTheme="minorEastAsia" w:hAnsiTheme="minorEastAsia" w:eastAsiaTheme="minorEastAsia"/>
              </w:rPr>
              <w:t>在合同签订之前，排名第一的成交候选人放弃成交、因不可抗力提出不能履行合同、不按照询比文件要求在规定的时间内提交履约保证金、被查实存在影响成交结果的违法行为、按照中国电信供应商不良行为处理结果及《中国电信供应商不良行为管理规则》的结果执行规则[如涉及联合采</w:t>
            </w:r>
            <w:r>
              <w:rPr>
                <w:rFonts w:hint="eastAsia" w:asciiTheme="minorEastAsia" w:hAnsiTheme="minorEastAsia" w:eastAsiaTheme="minorEastAsia"/>
                <w:lang w:val="en-US" w:eastAsia="zh-CN"/>
              </w:rPr>
              <w:t xml:space="preserve"> </w:t>
            </w:r>
            <w:r>
              <w:rPr>
                <w:rFonts w:hint="eastAsia" w:asciiTheme="minorEastAsia" w:hAnsiTheme="minorEastAsia" w:eastAsiaTheme="minorEastAsia"/>
              </w:rPr>
              <w:t>购，请同时明确其他联合采购方的不良行为处理结果及相关规则]应对供应商及产品在本项目中执行禁止采购处理措施、未通过网络安全审查等不符合成交条件情形的，采购人【按评审委员会提出的排名顺序依次确定其他成交候选人为成交供应商，或重新询比。】</w:t>
            </w:r>
          </w:p>
        </w:tc>
      </w:tr>
      <w:tr w14:paraId="41347E0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23" w:hRule="atLeast"/>
        </w:trPr>
        <w:tc>
          <w:tcPr>
            <w:tcW w:w="840" w:type="dxa"/>
            <w:vAlign w:val="center"/>
          </w:tcPr>
          <w:p w14:paraId="60FC87C7">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8.1.</w:t>
            </w:r>
            <w:r>
              <w:rPr>
                <w:rFonts w:cs="宋体" w:asciiTheme="minorEastAsia" w:hAnsiTheme="minorEastAsia" w:eastAsiaTheme="minorEastAsia"/>
                <w:szCs w:val="21"/>
              </w:rPr>
              <w:t>1</w:t>
            </w:r>
          </w:p>
        </w:tc>
        <w:tc>
          <w:tcPr>
            <w:tcW w:w="1844" w:type="dxa"/>
            <w:vAlign w:val="center"/>
          </w:tcPr>
          <w:p w14:paraId="52F1B6AE">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履约保证金金额和形式</w:t>
            </w:r>
          </w:p>
        </w:tc>
        <w:tc>
          <w:tcPr>
            <w:tcW w:w="5853" w:type="dxa"/>
            <w:vAlign w:val="center"/>
          </w:tcPr>
          <w:p w14:paraId="2088F53A">
            <w:pPr>
              <w:autoSpaceDE w:val="0"/>
              <w:autoSpaceDN w:val="0"/>
              <w:jc w:val="left"/>
              <w:rPr>
                <w:rFonts w:cs="宋体" w:asciiTheme="minorEastAsia" w:hAnsiTheme="minorEastAsia" w:eastAsiaTheme="minorEastAsia"/>
                <w:szCs w:val="21"/>
              </w:rPr>
            </w:pPr>
            <w:r>
              <w:rPr>
                <w:rFonts w:hint="eastAsia" w:cs="宋体" w:asciiTheme="minorEastAsia" w:hAnsiTheme="minorEastAsia" w:eastAsiaTheme="minorEastAsia"/>
                <w:szCs w:val="21"/>
              </w:rPr>
              <w:t>不收取履约保证金</w:t>
            </w:r>
          </w:p>
        </w:tc>
      </w:tr>
      <w:tr w14:paraId="41383E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Align w:val="center"/>
          </w:tcPr>
          <w:p w14:paraId="15D4733F">
            <w:pPr>
              <w:autoSpaceDE w:val="0"/>
              <w:autoSpaceDN w:val="0"/>
              <w:jc w:val="center"/>
              <w:rPr>
                <w:rFonts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1844" w:type="dxa"/>
            <w:vAlign w:val="center"/>
          </w:tcPr>
          <w:p w14:paraId="1255E60C">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采购代理服务费金额、交纳方式和时限</w:t>
            </w:r>
          </w:p>
        </w:tc>
        <w:tc>
          <w:tcPr>
            <w:tcW w:w="5853" w:type="dxa"/>
            <w:vAlign w:val="center"/>
          </w:tcPr>
          <w:p w14:paraId="15F04F4E">
            <w:pPr>
              <w:autoSpaceDE w:val="0"/>
              <w:autoSpaceDN w:val="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本条款增加如下规定：</w:t>
            </w:r>
          </w:p>
          <w:p w14:paraId="65DAFB2C">
            <w:p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9.1招标代理服务费采用</w:t>
            </w:r>
            <w:r>
              <w:rPr>
                <w:rFonts w:cs="宋体" w:asciiTheme="minorEastAsia" w:hAnsiTheme="minorEastAsia" w:eastAsiaTheme="minorEastAsia"/>
                <w:szCs w:val="21"/>
                <w:highlight w:val="none"/>
              </w:rPr>
              <w:t>差额定率累进</w:t>
            </w:r>
            <w:r>
              <w:rPr>
                <w:rFonts w:hint="eastAsia" w:cs="宋体" w:asciiTheme="minorEastAsia" w:hAnsiTheme="minorEastAsia" w:eastAsiaTheme="minorEastAsia"/>
                <w:szCs w:val="21"/>
                <w:highlight w:val="none"/>
              </w:rPr>
              <w:t>法根据中标金额按照下表中的费率进行计算，</w:t>
            </w:r>
            <w:r>
              <w:rPr>
                <w:rFonts w:hint="eastAsia" w:ascii="宋体" w:hAnsi="宋体" w:eastAsia="宋体" w:cs="宋体"/>
                <w:color w:val="000000" w:themeColor="text1"/>
                <w:szCs w:val="21"/>
                <w:highlight w:val="none"/>
                <w14:textFill>
                  <w14:solidFill>
                    <w14:schemeClr w14:val="tx1"/>
                  </w14:solidFill>
                </w14:textFill>
              </w:rPr>
              <w:t>并在此基础上下浮34.5%</w:t>
            </w:r>
            <w:r>
              <w:rPr>
                <w:rFonts w:hint="eastAsia" w:cs="宋体" w:asciiTheme="minorEastAsia" w:hAnsiTheme="minorEastAsia" w:eastAsiaTheme="minorEastAsia"/>
                <w:szCs w:val="21"/>
                <w:highlight w:val="none"/>
              </w:rPr>
              <w:t>：</w:t>
            </w:r>
            <w:r>
              <w:rPr>
                <w:rFonts w:hint="eastAsia" w:cs="宋体" w:asciiTheme="minorEastAsia" w:hAnsiTheme="minorEastAsia" w:eastAsiaTheme="minorEastAsia"/>
                <w:szCs w:val="21"/>
                <w:highlight w:val="none"/>
                <w:lang w:val="en-US" w:eastAsia="zh-CN"/>
              </w:rPr>
              <w:t>20万以下不打折。</w:t>
            </w:r>
          </w:p>
          <w:tbl>
            <w:tblPr>
              <w:tblStyle w:val="39"/>
              <w:tblW w:w="557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3"/>
              <w:gridCol w:w="1276"/>
              <w:gridCol w:w="1134"/>
              <w:gridCol w:w="1134"/>
            </w:tblGrid>
            <w:tr w14:paraId="7D203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033" w:type="dxa"/>
                  <w:shd w:val="clear" w:color="auto" w:fill="auto"/>
                </w:tcPr>
                <w:p w14:paraId="142C304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 xml:space="preserve">          费率</w:t>
                  </w:r>
                </w:p>
                <w:p w14:paraId="6C98B6FF">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中标金额</w:t>
                  </w:r>
                </w:p>
              </w:tc>
              <w:tc>
                <w:tcPr>
                  <w:tcW w:w="1276" w:type="dxa"/>
                  <w:shd w:val="clear" w:color="auto" w:fill="auto"/>
                  <w:vAlign w:val="center"/>
                </w:tcPr>
                <w:p w14:paraId="3EF2E2D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货物招标</w:t>
                  </w:r>
                </w:p>
              </w:tc>
              <w:tc>
                <w:tcPr>
                  <w:tcW w:w="1134" w:type="dxa"/>
                  <w:shd w:val="clear" w:color="auto" w:fill="auto"/>
                  <w:vAlign w:val="center"/>
                </w:tcPr>
                <w:p w14:paraId="0EF76883">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服务招标</w:t>
                  </w:r>
                </w:p>
              </w:tc>
              <w:tc>
                <w:tcPr>
                  <w:tcW w:w="1134" w:type="dxa"/>
                  <w:shd w:val="clear" w:color="auto" w:fill="auto"/>
                  <w:vAlign w:val="center"/>
                </w:tcPr>
                <w:p w14:paraId="0A979B6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工程招标</w:t>
                  </w:r>
                </w:p>
              </w:tc>
            </w:tr>
            <w:tr w14:paraId="109E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48ECB2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100万元以下</w:t>
                  </w:r>
                </w:p>
              </w:tc>
              <w:tc>
                <w:tcPr>
                  <w:tcW w:w="1276" w:type="dxa"/>
                  <w:shd w:val="clear" w:color="auto" w:fill="auto"/>
                </w:tcPr>
                <w:p w14:paraId="0BDD5B0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58F864D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w:t>
                  </w:r>
                </w:p>
              </w:tc>
              <w:tc>
                <w:tcPr>
                  <w:tcW w:w="1134" w:type="dxa"/>
                  <w:shd w:val="clear" w:color="auto" w:fill="auto"/>
                </w:tcPr>
                <w:p w14:paraId="033BD8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w:t>
                  </w:r>
                </w:p>
              </w:tc>
            </w:tr>
            <w:tr w14:paraId="6634A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2033" w:type="dxa"/>
                  <w:shd w:val="clear" w:color="auto" w:fill="auto"/>
                </w:tcPr>
                <w:p w14:paraId="7489F1A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100～500万元</w:t>
                  </w:r>
                </w:p>
              </w:tc>
              <w:tc>
                <w:tcPr>
                  <w:tcW w:w="1276" w:type="dxa"/>
                  <w:shd w:val="clear" w:color="auto" w:fill="auto"/>
                </w:tcPr>
                <w:p w14:paraId="40A946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1.1%</w:t>
                  </w:r>
                </w:p>
              </w:tc>
              <w:tc>
                <w:tcPr>
                  <w:tcW w:w="1134" w:type="dxa"/>
                  <w:shd w:val="clear" w:color="auto" w:fill="auto"/>
                </w:tcPr>
                <w:p w14:paraId="6F6A364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2E1BD42B">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0.7%</w:t>
                  </w:r>
                </w:p>
              </w:tc>
            </w:tr>
            <w:tr w14:paraId="4BAD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033" w:type="dxa"/>
                  <w:shd w:val="clear" w:color="auto" w:fill="auto"/>
                </w:tcPr>
                <w:p w14:paraId="0CE1986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500～1000万元</w:t>
                  </w:r>
                </w:p>
              </w:tc>
              <w:tc>
                <w:tcPr>
                  <w:tcW w:w="1276" w:type="dxa"/>
                  <w:shd w:val="clear" w:color="auto" w:fill="auto"/>
                </w:tcPr>
                <w:p w14:paraId="28ED348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0.8%</w:t>
                  </w:r>
                </w:p>
              </w:tc>
              <w:tc>
                <w:tcPr>
                  <w:tcW w:w="1134" w:type="dxa"/>
                  <w:shd w:val="clear" w:color="auto" w:fill="auto"/>
                </w:tcPr>
                <w:p w14:paraId="7DECBA9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0.45%</w:t>
                  </w:r>
                </w:p>
              </w:tc>
              <w:tc>
                <w:tcPr>
                  <w:tcW w:w="1134" w:type="dxa"/>
                  <w:shd w:val="clear" w:color="auto" w:fill="auto"/>
                </w:tcPr>
                <w:p w14:paraId="27E2E35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0.55%</w:t>
                  </w:r>
                </w:p>
              </w:tc>
            </w:tr>
            <w:tr w14:paraId="31CDF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2033" w:type="dxa"/>
                  <w:shd w:val="clear" w:color="auto" w:fill="auto"/>
                </w:tcPr>
                <w:p w14:paraId="430BD7CD">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1000～5000万元</w:t>
                  </w:r>
                </w:p>
              </w:tc>
              <w:tc>
                <w:tcPr>
                  <w:tcW w:w="1276" w:type="dxa"/>
                  <w:shd w:val="clear" w:color="auto" w:fill="auto"/>
                </w:tcPr>
                <w:p w14:paraId="7EEDC360">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0.5%</w:t>
                  </w:r>
                </w:p>
              </w:tc>
              <w:tc>
                <w:tcPr>
                  <w:tcW w:w="1134" w:type="dxa"/>
                  <w:shd w:val="clear" w:color="auto" w:fill="auto"/>
                </w:tcPr>
                <w:p w14:paraId="165CF19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136516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0.35%</w:t>
                  </w:r>
                </w:p>
              </w:tc>
            </w:tr>
            <w:tr w14:paraId="6E7AB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2033" w:type="dxa"/>
                  <w:shd w:val="clear" w:color="auto" w:fill="auto"/>
                </w:tcPr>
                <w:p w14:paraId="18975D3B">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5000万元～1亿元</w:t>
                  </w:r>
                </w:p>
              </w:tc>
              <w:tc>
                <w:tcPr>
                  <w:tcW w:w="1276" w:type="dxa"/>
                  <w:shd w:val="clear" w:color="auto" w:fill="auto"/>
                </w:tcPr>
                <w:p w14:paraId="27056A1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0.25%</w:t>
                  </w:r>
                </w:p>
              </w:tc>
              <w:tc>
                <w:tcPr>
                  <w:tcW w:w="1134" w:type="dxa"/>
                  <w:shd w:val="clear" w:color="auto" w:fill="auto"/>
                </w:tcPr>
                <w:p w14:paraId="649F9365">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0.1%</w:t>
                  </w:r>
                </w:p>
              </w:tc>
              <w:tc>
                <w:tcPr>
                  <w:tcW w:w="1134" w:type="dxa"/>
                  <w:shd w:val="clear" w:color="auto" w:fill="auto"/>
                </w:tcPr>
                <w:p w14:paraId="6FE5BF39">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0.2%</w:t>
                  </w:r>
                </w:p>
              </w:tc>
            </w:tr>
            <w:tr w14:paraId="0EEE1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trPr>
              <w:tc>
                <w:tcPr>
                  <w:tcW w:w="2033" w:type="dxa"/>
                  <w:shd w:val="clear" w:color="auto" w:fill="auto"/>
                </w:tcPr>
                <w:p w14:paraId="20DEE28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1～5亿元</w:t>
                  </w:r>
                </w:p>
              </w:tc>
              <w:tc>
                <w:tcPr>
                  <w:tcW w:w="1276" w:type="dxa"/>
                  <w:shd w:val="clear" w:color="auto" w:fill="auto"/>
                </w:tcPr>
                <w:p w14:paraId="78F999D3">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EB88EB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c>
                <w:tcPr>
                  <w:tcW w:w="1134" w:type="dxa"/>
                  <w:shd w:val="clear" w:color="auto" w:fill="auto"/>
                </w:tcPr>
                <w:p w14:paraId="630CD331">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0.05%</w:t>
                  </w:r>
                </w:p>
              </w:tc>
            </w:tr>
            <w:tr w14:paraId="1C3A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2033" w:type="dxa"/>
                  <w:shd w:val="clear" w:color="auto" w:fill="auto"/>
                </w:tcPr>
                <w:p w14:paraId="68303B6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5～10亿元</w:t>
                  </w:r>
                </w:p>
              </w:tc>
              <w:tc>
                <w:tcPr>
                  <w:tcW w:w="1276" w:type="dxa"/>
                  <w:shd w:val="clear" w:color="auto" w:fill="auto"/>
                </w:tcPr>
                <w:p w14:paraId="1890CC4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1825902">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c>
                <w:tcPr>
                  <w:tcW w:w="1134" w:type="dxa"/>
                  <w:shd w:val="clear" w:color="auto" w:fill="auto"/>
                </w:tcPr>
                <w:p w14:paraId="4E473F4E">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0.035%</w:t>
                  </w:r>
                </w:p>
              </w:tc>
            </w:tr>
            <w:tr w14:paraId="2F52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033" w:type="dxa"/>
                  <w:shd w:val="clear" w:color="auto" w:fill="auto"/>
                </w:tcPr>
                <w:p w14:paraId="38B5CA8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10～50亿元</w:t>
                  </w:r>
                </w:p>
              </w:tc>
              <w:tc>
                <w:tcPr>
                  <w:tcW w:w="1276" w:type="dxa"/>
                  <w:shd w:val="clear" w:color="auto" w:fill="auto"/>
                </w:tcPr>
                <w:p w14:paraId="4F0DF20A">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46109186">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c>
                <w:tcPr>
                  <w:tcW w:w="1134" w:type="dxa"/>
                  <w:shd w:val="clear" w:color="auto" w:fill="auto"/>
                </w:tcPr>
                <w:p w14:paraId="242A6C8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0.008%</w:t>
                  </w:r>
                </w:p>
              </w:tc>
            </w:tr>
            <w:tr w14:paraId="7BD60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066501D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50～100亿元</w:t>
                  </w:r>
                </w:p>
              </w:tc>
              <w:tc>
                <w:tcPr>
                  <w:tcW w:w="1276" w:type="dxa"/>
                  <w:shd w:val="clear" w:color="auto" w:fill="auto"/>
                </w:tcPr>
                <w:p w14:paraId="08139574">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48569FB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c>
                <w:tcPr>
                  <w:tcW w:w="1134" w:type="dxa"/>
                  <w:shd w:val="clear" w:color="auto" w:fill="auto"/>
                </w:tcPr>
                <w:p w14:paraId="11CBFB2D">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0.006%</w:t>
                  </w:r>
                </w:p>
              </w:tc>
            </w:tr>
            <w:tr w14:paraId="26C31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033" w:type="dxa"/>
                  <w:shd w:val="clear" w:color="auto" w:fill="auto"/>
                </w:tcPr>
                <w:p w14:paraId="3AFCAB14">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100亿以上</w:t>
                  </w:r>
                </w:p>
              </w:tc>
              <w:tc>
                <w:tcPr>
                  <w:tcW w:w="1276" w:type="dxa"/>
                  <w:shd w:val="clear" w:color="auto" w:fill="auto"/>
                </w:tcPr>
                <w:p w14:paraId="4EFC69A8">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5E183F9C">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c>
                <w:tcPr>
                  <w:tcW w:w="1134" w:type="dxa"/>
                  <w:shd w:val="clear" w:color="auto" w:fill="auto"/>
                </w:tcPr>
                <w:p w14:paraId="17E6B83F">
                  <w:pPr>
                    <w:autoSpaceDE w:val="0"/>
                    <w:autoSpaceDN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0.004%</w:t>
                  </w:r>
                </w:p>
              </w:tc>
            </w:tr>
          </w:tbl>
          <w:p w14:paraId="55026350">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例如：某货物招标，中标金额为6000万元人民币，则招标代理服务费计算方式如下：</w:t>
            </w:r>
          </w:p>
          <w:p w14:paraId="03DB49B1">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100万元×1.5%=1.5万元</w:t>
            </w:r>
          </w:p>
          <w:p w14:paraId="1DFCA8C6">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（500-100）万元×1.1%=4.4万元</w:t>
            </w:r>
          </w:p>
          <w:p w14:paraId="7A9963FA">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（1000-500）×0.8%=4万元</w:t>
            </w:r>
          </w:p>
          <w:p w14:paraId="36BACFCE">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（5000-1000）×0.5%=20万元</w:t>
            </w:r>
          </w:p>
          <w:p w14:paraId="430399B8">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（6000-5000）×0.25%=2.5万元</w:t>
            </w:r>
          </w:p>
          <w:p w14:paraId="58952417">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合计收费=1.5+4.4+4+20+2.5=32.4（万元）</w:t>
            </w:r>
          </w:p>
          <w:p w14:paraId="2C2CE4B5">
            <w:pPr>
              <w:autoSpaceDE w:val="0"/>
              <w:autoSpaceDN w:val="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9.2 缴纳方式：</w:t>
            </w:r>
            <w:r>
              <w:rPr>
                <w:rFonts w:hint="eastAsia" w:cs="宋体" w:asciiTheme="minorEastAsia" w:hAnsiTheme="minorEastAsia" w:eastAsiaTheme="minorEastAsia"/>
                <w:szCs w:val="21"/>
                <w:highlight w:val="none"/>
                <w:u w:val="single"/>
              </w:rPr>
              <w:t>银行转账、汇款等形式</w:t>
            </w:r>
            <w:r>
              <w:rPr>
                <w:rFonts w:hint="eastAsia" w:cs="宋体" w:asciiTheme="minorEastAsia" w:hAnsiTheme="minorEastAsia" w:eastAsiaTheme="minorEastAsia"/>
                <w:szCs w:val="21"/>
                <w:highlight w:val="none"/>
              </w:rPr>
              <w:t>。</w:t>
            </w:r>
          </w:p>
          <w:p w14:paraId="7BA8EFCF">
            <w:pPr>
              <w:numPr>
                <w:ilvl w:val="0"/>
                <w:numId w:val="0"/>
              </w:numPr>
              <w:autoSpaceDE w:val="0"/>
              <w:autoSpaceDN w:val="0"/>
              <w:rPr>
                <w:rFonts w:hint="default" w:cs="宋体" w:asciiTheme="minorEastAsia" w:hAnsiTheme="minorEastAsia" w:eastAsiaTheme="minorEastAsia"/>
                <w:szCs w:val="21"/>
                <w:highlight w:val="none"/>
                <w:lang w:val="en-US" w:eastAsia="zh-CN"/>
              </w:rPr>
            </w:pPr>
            <w:r>
              <w:rPr>
                <w:rFonts w:hint="eastAsia" w:cs="宋体" w:asciiTheme="minorEastAsia" w:hAnsiTheme="minorEastAsia" w:eastAsiaTheme="minorEastAsia"/>
                <w:szCs w:val="21"/>
                <w:highlight w:val="none"/>
              </w:rPr>
              <w:t>9.3中标金额计取依据：根据</w:t>
            </w:r>
            <w:r>
              <w:rPr>
                <w:rFonts w:hint="eastAsia" w:cs="宋体" w:asciiTheme="minorEastAsia" w:hAnsiTheme="minorEastAsia" w:eastAsiaTheme="minorEastAsia"/>
                <w:szCs w:val="21"/>
                <w:highlight w:val="none"/>
                <w:lang w:val="en-US" w:eastAsia="zh-CN"/>
              </w:rPr>
              <w:t>含税成交</w:t>
            </w:r>
            <w:r>
              <w:rPr>
                <w:rFonts w:hint="eastAsia" w:cs="宋体" w:asciiTheme="minorEastAsia" w:hAnsiTheme="minorEastAsia" w:eastAsiaTheme="minorEastAsia"/>
                <w:szCs w:val="21"/>
                <w:highlight w:val="none"/>
              </w:rPr>
              <w:t>金额计取。</w:t>
            </w:r>
          </w:p>
          <w:p w14:paraId="2AC10552">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highlight w:val="none"/>
              </w:rPr>
              <w:t>9.4 缴纳期限及周期：中标人在收到招标代理服务费付款通知书后15日内向招标代理机构支付招标代理服务费</w:t>
            </w:r>
            <w:r>
              <w:rPr>
                <w:rFonts w:hint="eastAsia" w:ascii="宋体" w:hAnsi="宋体" w:eastAsia="宋体" w:cs="宋体"/>
                <w:szCs w:val="21"/>
                <w:highlight w:val="none"/>
              </w:rPr>
              <w:t>。</w:t>
            </w:r>
          </w:p>
        </w:tc>
      </w:tr>
      <w:tr w14:paraId="4FDF3D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40" w:type="dxa"/>
            <w:vAlign w:val="center"/>
          </w:tcPr>
          <w:p w14:paraId="25B02580">
            <w:pPr>
              <w:autoSpaceDE w:val="0"/>
              <w:autoSpaceDN w:val="0"/>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10</w:t>
            </w:r>
          </w:p>
        </w:tc>
        <w:tc>
          <w:tcPr>
            <w:tcW w:w="1844" w:type="dxa"/>
            <w:vAlign w:val="center"/>
          </w:tcPr>
          <w:p w14:paraId="719B779D">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需要补充的其他内容</w:t>
            </w:r>
          </w:p>
        </w:tc>
        <w:tc>
          <w:tcPr>
            <w:tcW w:w="5853" w:type="dxa"/>
            <w:vAlign w:val="center"/>
          </w:tcPr>
          <w:p w14:paraId="241189C6">
            <w:pPr>
              <w:autoSpaceDE w:val="0"/>
              <w:autoSpaceDN w:val="0"/>
              <w:rPr>
                <w:rFonts w:cs="宋体" w:asciiTheme="minorEastAsia" w:hAnsiTheme="minorEastAsia" w:eastAsiaTheme="minorEastAsia"/>
                <w:szCs w:val="21"/>
              </w:rPr>
            </w:pPr>
            <w:r>
              <w:rPr>
                <w:rFonts w:hint="eastAsia" w:cs="宋体" w:asciiTheme="minorEastAsia" w:hAnsiTheme="minorEastAsia" w:eastAsiaTheme="minorEastAsia"/>
                <w:szCs w:val="21"/>
              </w:rPr>
              <w:t>供应商试图对采购人进行影响，或对评审委员会的评审、比较或成交候选人的决定进行影响，都可能导致其响应被否决。</w:t>
            </w:r>
          </w:p>
        </w:tc>
      </w:tr>
      <w:tr w14:paraId="6FDB75C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537" w:type="dxa"/>
            <w:gridSpan w:val="3"/>
            <w:vAlign w:val="center"/>
          </w:tcPr>
          <w:p w14:paraId="424A5000">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询比文件否决响应条款汇总</w:t>
            </w:r>
          </w:p>
          <w:p w14:paraId="37EBE5CB">
            <w:pPr>
              <w:autoSpaceDE w:val="0"/>
              <w:autoSpaceDN w:val="0"/>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[应简化响应文件形式要求，一般不得将装订、纸张、明显的文字错误等列为否决响应情形]</w:t>
            </w:r>
          </w:p>
        </w:tc>
      </w:tr>
      <w:tr w14:paraId="1253A1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51418B96">
            <w:pPr>
              <w:autoSpaceDE w:val="0"/>
              <w:autoSpaceDN w:val="0"/>
              <w:jc w:val="center"/>
              <w:rPr>
                <w:rFonts w:cs="宋体" w:asciiTheme="minorEastAsia" w:hAnsiTheme="minorEastAsia" w:eastAsiaTheme="minorEastAsia"/>
                <w:szCs w:val="21"/>
              </w:rPr>
            </w:pPr>
            <w:r>
              <w:rPr>
                <w:rFonts w:hint="eastAsia" w:asciiTheme="minorEastAsia" w:hAnsiTheme="minorEastAsia" w:eastAsiaTheme="minorEastAsia" w:cstheme="minorEastAsia"/>
                <w:szCs w:val="21"/>
              </w:rPr>
              <w:t>第二章</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人须知</w:t>
            </w:r>
          </w:p>
        </w:tc>
        <w:tc>
          <w:tcPr>
            <w:tcW w:w="1844" w:type="dxa"/>
            <w:vAlign w:val="center"/>
          </w:tcPr>
          <w:p w14:paraId="5A94D9EC">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1.7.1 资格审查</w:t>
            </w:r>
          </w:p>
        </w:tc>
        <w:tc>
          <w:tcPr>
            <w:tcW w:w="5853" w:type="dxa"/>
            <w:vAlign w:val="center"/>
          </w:tcPr>
          <w:p w14:paraId="1B792A2C">
            <w:pPr>
              <w:autoSpaceDE w:val="0"/>
              <w:autoSpaceDN w:val="0"/>
              <w:rPr>
                <w:rFonts w:asciiTheme="minorEastAsia" w:hAnsiTheme="minorEastAsia" w:eastAsiaTheme="minorEastAsia"/>
              </w:rPr>
            </w:pPr>
            <w:r>
              <w:rPr>
                <w:rFonts w:hint="eastAsia" w:asciiTheme="minorEastAsia" w:hAnsiTheme="minorEastAsia" w:eastAsiaTheme="minorEastAsia" w:cstheme="minorEastAsia"/>
                <w:szCs w:val="21"/>
              </w:rPr>
              <w:t>资格后审不合格的</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tc>
      </w:tr>
      <w:tr w14:paraId="465BC9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2D7A561B">
            <w:pPr>
              <w:autoSpaceDE w:val="0"/>
              <w:autoSpaceDN w:val="0"/>
              <w:jc w:val="center"/>
              <w:rPr>
                <w:rFonts w:cs="宋体" w:asciiTheme="minorEastAsia" w:hAnsiTheme="minorEastAsia" w:eastAsiaTheme="minorEastAsia"/>
                <w:szCs w:val="21"/>
              </w:rPr>
            </w:pPr>
          </w:p>
        </w:tc>
        <w:tc>
          <w:tcPr>
            <w:tcW w:w="1844" w:type="dxa"/>
            <w:vAlign w:val="center"/>
          </w:tcPr>
          <w:p w14:paraId="49461290">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rPr>
              <w:t>2.1.3 实质性条款不满足</w:t>
            </w:r>
          </w:p>
        </w:tc>
        <w:tc>
          <w:tcPr>
            <w:tcW w:w="5853" w:type="dxa"/>
            <w:vAlign w:val="center"/>
          </w:tcPr>
          <w:p w14:paraId="20430677">
            <w:pPr>
              <w:autoSpaceDE w:val="0"/>
              <w:autoSpaceDN w:val="0"/>
              <w:rPr>
                <w:rFonts w:cs="宋体" w:asciiTheme="minorEastAsia" w:hAnsiTheme="minorEastAsia" w:eastAsiaTheme="minorEastAsia"/>
                <w:szCs w:val="21"/>
              </w:rPr>
            </w:pP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文件中选识“【</w:t>
            </w:r>
            <w:r>
              <w:rPr>
                <w:rFonts w:hint="eastAsia" w:asciiTheme="minorEastAsia" w:hAnsiTheme="minorEastAsia" w:eastAsiaTheme="minorEastAsia" w:cstheme="minorEastAsia"/>
                <w:szCs w:val="21"/>
                <w:u w:val="single"/>
              </w:rPr>
              <w:t>★</w:t>
            </w:r>
            <w:r>
              <w:rPr>
                <w:rFonts w:hint="eastAsia" w:asciiTheme="minorEastAsia" w:hAnsiTheme="minorEastAsia" w:eastAsiaTheme="minorEastAsia" w:cstheme="minorEastAsia"/>
                <w:szCs w:val="21"/>
              </w:rPr>
              <w:t>】”的条款，均为实质性条款，</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人任何不满足实质性条款的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均将被否决。</w:t>
            </w:r>
          </w:p>
        </w:tc>
      </w:tr>
      <w:tr w14:paraId="7883A7C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50A70F9">
            <w:pPr>
              <w:autoSpaceDE w:val="0"/>
              <w:autoSpaceDN w:val="0"/>
              <w:jc w:val="center"/>
              <w:rPr>
                <w:rFonts w:cs="宋体" w:asciiTheme="minorEastAsia" w:hAnsiTheme="minorEastAsia" w:eastAsiaTheme="minorEastAsia"/>
                <w:szCs w:val="21"/>
              </w:rPr>
            </w:pPr>
            <w:bookmarkStart w:id="64" w:name="_Toc227057885"/>
            <w:bookmarkStart w:id="65" w:name="_Toc488655831"/>
            <w:bookmarkStart w:id="66" w:name="_Toc107822484"/>
            <w:bookmarkStart w:id="67" w:name="_Toc447188667"/>
            <w:bookmarkStart w:id="68" w:name="_Toc226969278"/>
          </w:p>
        </w:tc>
        <w:tc>
          <w:tcPr>
            <w:tcW w:w="1844" w:type="dxa"/>
            <w:vAlign w:val="center"/>
          </w:tcPr>
          <w:p w14:paraId="48F551D3">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3.2.2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文件应答和编写</w:t>
            </w:r>
          </w:p>
        </w:tc>
        <w:tc>
          <w:tcPr>
            <w:tcW w:w="5853" w:type="dxa"/>
            <w:vAlign w:val="center"/>
          </w:tcPr>
          <w:p w14:paraId="75BB4BA2">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应当认真阅读</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文件中所有的事项、格式、条款和技术规范等。</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人没有按照</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文件要求递交全部资料或者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人没有对</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文件在各方面都作出实质性响应是</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的风险，并可能导致其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被否决。</w:t>
            </w:r>
          </w:p>
        </w:tc>
      </w:tr>
      <w:tr w14:paraId="2013E7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5D6D2B2">
            <w:pPr>
              <w:autoSpaceDE w:val="0"/>
              <w:autoSpaceDN w:val="0"/>
              <w:jc w:val="center"/>
              <w:rPr>
                <w:rFonts w:cs="宋体" w:asciiTheme="minorEastAsia" w:hAnsiTheme="minorEastAsia" w:eastAsiaTheme="minorEastAsia"/>
                <w:szCs w:val="21"/>
              </w:rPr>
            </w:pPr>
          </w:p>
        </w:tc>
        <w:tc>
          <w:tcPr>
            <w:tcW w:w="1844" w:type="dxa"/>
            <w:vAlign w:val="center"/>
          </w:tcPr>
          <w:p w14:paraId="6453BCC7">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3.2.4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文件的盖章或者签字</w:t>
            </w:r>
          </w:p>
        </w:tc>
        <w:tc>
          <w:tcPr>
            <w:tcW w:w="5853" w:type="dxa"/>
            <w:vAlign w:val="center"/>
          </w:tcPr>
          <w:p w14:paraId="7B356F8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签字盖章不满足</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4B0E92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6932B135">
            <w:pPr>
              <w:autoSpaceDE w:val="0"/>
              <w:autoSpaceDN w:val="0"/>
              <w:jc w:val="center"/>
              <w:rPr>
                <w:rFonts w:cs="宋体" w:asciiTheme="minorEastAsia" w:hAnsiTheme="minorEastAsia" w:eastAsiaTheme="minorEastAsia"/>
                <w:szCs w:val="21"/>
              </w:rPr>
            </w:pPr>
          </w:p>
        </w:tc>
        <w:tc>
          <w:tcPr>
            <w:tcW w:w="1844" w:type="dxa"/>
            <w:vAlign w:val="center"/>
          </w:tcPr>
          <w:p w14:paraId="0BC7ED0D">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3.3.3 最高</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限价</w:t>
            </w:r>
          </w:p>
        </w:tc>
        <w:tc>
          <w:tcPr>
            <w:tcW w:w="5853" w:type="dxa"/>
            <w:vAlign w:val="center"/>
          </w:tcPr>
          <w:p w14:paraId="0EA440B8">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超过最高</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选限价将被否决。</w:t>
            </w:r>
          </w:p>
        </w:tc>
      </w:tr>
      <w:tr w14:paraId="7029CA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A6BA53A">
            <w:pPr>
              <w:autoSpaceDE w:val="0"/>
              <w:autoSpaceDN w:val="0"/>
              <w:jc w:val="center"/>
              <w:rPr>
                <w:rFonts w:cs="宋体" w:asciiTheme="minorEastAsia" w:hAnsiTheme="minorEastAsia" w:eastAsiaTheme="minorEastAsia"/>
                <w:szCs w:val="21"/>
              </w:rPr>
            </w:pPr>
          </w:p>
        </w:tc>
        <w:tc>
          <w:tcPr>
            <w:tcW w:w="1844" w:type="dxa"/>
            <w:vAlign w:val="center"/>
          </w:tcPr>
          <w:p w14:paraId="4EF18C6F">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3.4.1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有效期</w:t>
            </w:r>
          </w:p>
        </w:tc>
        <w:tc>
          <w:tcPr>
            <w:tcW w:w="5853" w:type="dxa"/>
            <w:vAlign w:val="center"/>
          </w:tcPr>
          <w:p w14:paraId="184CB9B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选有效期不满足</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00BB8F4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4F1CA249">
            <w:pPr>
              <w:autoSpaceDE w:val="0"/>
              <w:autoSpaceDN w:val="0"/>
              <w:jc w:val="center"/>
              <w:rPr>
                <w:rFonts w:cs="宋体" w:asciiTheme="minorEastAsia" w:hAnsiTheme="minorEastAsia" w:eastAsiaTheme="minorEastAsia"/>
                <w:szCs w:val="21"/>
              </w:rPr>
            </w:pPr>
          </w:p>
        </w:tc>
        <w:tc>
          <w:tcPr>
            <w:tcW w:w="1844" w:type="dxa"/>
            <w:vAlign w:val="center"/>
          </w:tcPr>
          <w:p w14:paraId="33C0D51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3.5 </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保证金</w:t>
            </w:r>
          </w:p>
        </w:tc>
        <w:tc>
          <w:tcPr>
            <w:tcW w:w="5853" w:type="dxa"/>
            <w:vAlign w:val="center"/>
          </w:tcPr>
          <w:p w14:paraId="6B4E8D00">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未递交</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选保证金或者递交的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保证金有瑕疵的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69F3D3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68278D20">
            <w:pPr>
              <w:autoSpaceDE w:val="0"/>
              <w:autoSpaceDN w:val="0"/>
              <w:jc w:val="center"/>
              <w:rPr>
                <w:rFonts w:cs="宋体" w:asciiTheme="minorEastAsia" w:hAnsiTheme="minorEastAsia" w:eastAsiaTheme="minorEastAsia"/>
                <w:szCs w:val="21"/>
              </w:rPr>
            </w:pPr>
          </w:p>
        </w:tc>
        <w:tc>
          <w:tcPr>
            <w:tcW w:w="1844" w:type="dxa"/>
            <w:vAlign w:val="center"/>
          </w:tcPr>
          <w:p w14:paraId="64FA9F8C">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3.6.1 备选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方案</w:t>
            </w:r>
          </w:p>
        </w:tc>
        <w:tc>
          <w:tcPr>
            <w:tcW w:w="5853" w:type="dxa"/>
            <w:vAlign w:val="center"/>
          </w:tcPr>
          <w:p w14:paraId="374692F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同一</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递交两个以上不同的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报价的，其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将被否决</w:t>
            </w:r>
          </w:p>
        </w:tc>
      </w:tr>
      <w:tr w14:paraId="514D67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restart"/>
            <w:tcBorders>
              <w:top w:val="single" w:color="auto" w:sz="4" w:space="0"/>
            </w:tcBorders>
            <w:vAlign w:val="center"/>
          </w:tcPr>
          <w:p w14:paraId="2D4E5DE9">
            <w:pPr>
              <w:autoSpaceDE w:val="0"/>
              <w:autoSpaceDN w:val="0"/>
              <w:jc w:val="center"/>
              <w:rPr>
                <w:rFonts w:cs="宋体" w:asciiTheme="minorEastAsia" w:hAnsiTheme="minorEastAsia" w:eastAsiaTheme="minorEastAsia"/>
                <w:szCs w:val="21"/>
              </w:rPr>
            </w:pPr>
            <w:r>
              <w:rPr>
                <w:rFonts w:hint="eastAsia" w:asciiTheme="minorEastAsia" w:hAnsiTheme="minorEastAsia" w:eastAsiaTheme="minorEastAsia" w:cstheme="minorEastAsia"/>
                <w:szCs w:val="21"/>
              </w:rPr>
              <w:t xml:space="preserve">第三章 </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办法</w:t>
            </w:r>
          </w:p>
        </w:tc>
        <w:tc>
          <w:tcPr>
            <w:tcW w:w="1844" w:type="dxa"/>
            <w:vAlign w:val="center"/>
          </w:tcPr>
          <w:p w14:paraId="7621DBF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3.1.1 初步评审</w:t>
            </w:r>
          </w:p>
        </w:tc>
        <w:tc>
          <w:tcPr>
            <w:tcW w:w="5853" w:type="dxa"/>
            <w:vAlign w:val="center"/>
          </w:tcPr>
          <w:p w14:paraId="48F43A56">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委员会根据第三章第2.1款规定的初步评审标准对</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选文件进行初步评审。有一项不符合评审标准的，评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tc>
      </w:tr>
      <w:tr w14:paraId="75F9FC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1A4A9097">
            <w:pPr>
              <w:autoSpaceDE w:val="0"/>
              <w:autoSpaceDN w:val="0"/>
              <w:jc w:val="center"/>
              <w:rPr>
                <w:rFonts w:cs="宋体" w:asciiTheme="minorEastAsia" w:hAnsiTheme="minorEastAsia" w:eastAsiaTheme="minorEastAsia"/>
                <w:szCs w:val="21"/>
              </w:rPr>
            </w:pPr>
          </w:p>
        </w:tc>
        <w:tc>
          <w:tcPr>
            <w:tcW w:w="1844" w:type="dxa"/>
            <w:vAlign w:val="center"/>
          </w:tcPr>
          <w:p w14:paraId="0D3589C9">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3.1.2 初步评审 </w:t>
            </w:r>
          </w:p>
        </w:tc>
        <w:tc>
          <w:tcPr>
            <w:tcW w:w="5853" w:type="dxa"/>
            <w:vAlign w:val="center"/>
          </w:tcPr>
          <w:p w14:paraId="070BE546">
            <w:pPr>
              <w:autoSpaceDE w:val="0"/>
              <w:autoSpaceDN w:val="0"/>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人有以下情形之一的，评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w:t>
            </w:r>
          </w:p>
          <w:p w14:paraId="563A4CCA">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（1）第二章“</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选人须知”第1.8款规定的任何一种情形的；</w:t>
            </w:r>
          </w:p>
          <w:p w14:paraId="7E1A2DE5">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（2）不按照评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委员会要求澄清、说明或者补正的；</w:t>
            </w:r>
          </w:p>
          <w:p w14:paraId="682ACF5C">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文件未经</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单位盖章和单位负责人签字；</w:t>
            </w:r>
          </w:p>
          <w:p w14:paraId="49111FD2">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（4）允许联合体</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联合体没有递交共同</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协议；</w:t>
            </w:r>
          </w:p>
          <w:p w14:paraId="2B4AF6DC">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人不符合国家或者</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文件规定的资格条件；</w:t>
            </w:r>
          </w:p>
          <w:p w14:paraId="55855DB3">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（6）同一</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人递交两个以上不同的</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文件或者</w:t>
            </w:r>
            <w:r>
              <w:rPr>
                <w:rFonts w:hint="eastAsia" w:asciiTheme="minorEastAsia" w:hAnsiTheme="minorEastAsia" w:eastAsiaTheme="minorEastAsia" w:cstheme="minorEastAsia"/>
                <w:szCs w:val="21"/>
                <w:lang w:val="en-US" w:eastAsia="zh-CN"/>
              </w:rPr>
              <w:t>响应</w:t>
            </w:r>
            <w:r>
              <w:rPr>
                <w:rFonts w:hint="eastAsia" w:asciiTheme="minorEastAsia" w:hAnsiTheme="minorEastAsia" w:eastAsiaTheme="minorEastAsia" w:cstheme="minorEastAsia"/>
                <w:szCs w:val="21"/>
              </w:rPr>
              <w:t>报价，但</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文件要求递交备选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的除外；</w:t>
            </w:r>
          </w:p>
          <w:p w14:paraId="045738FF">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（7）</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报价低于成本或者高于</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文件设定的最高</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限价；</w:t>
            </w:r>
          </w:p>
          <w:p w14:paraId="7F8B274A">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（8）</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文件没有对</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文件的实质性要求和条件做出响应；</w:t>
            </w:r>
          </w:p>
          <w:p w14:paraId="50C38EF5">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（9）</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有串通</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、弄虚作假、行贿等违法行为；</w:t>
            </w:r>
          </w:p>
          <w:p w14:paraId="1F5376B3">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r>
              <w:rPr>
                <w:rFonts w:hint="eastAsia" w:asciiTheme="minorEastAsia" w:hAnsiTheme="minorEastAsia" w:eastAsiaTheme="minorEastAsia" w:cstheme="minorEastAsia"/>
                <w:szCs w:val="21"/>
                <w:lang w:val="en-US" w:eastAsia="zh-CN"/>
              </w:rPr>
              <w:t>供应商</w:t>
            </w:r>
            <w:r>
              <w:rPr>
                <w:rFonts w:hint="eastAsia" w:asciiTheme="minorEastAsia" w:hAnsiTheme="minorEastAsia" w:eastAsiaTheme="minorEastAsia" w:cstheme="minorEastAsia"/>
                <w:szCs w:val="21"/>
              </w:rPr>
              <w:t>以他人名义</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p w14:paraId="2EBE2881">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（11）没有按照</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文件要求提供</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担保或者所提供的</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担保有瑕疵；</w:t>
            </w:r>
          </w:p>
          <w:p w14:paraId="44E5E51B">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文件载明的</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项目完成期限超过</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文件规定的期限；</w:t>
            </w:r>
          </w:p>
          <w:p w14:paraId="1B7C1AF9">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（13）明显不符合技术规格、技术标准的要求；</w:t>
            </w:r>
          </w:p>
          <w:p w14:paraId="08FEEA1B">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（14）</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文件载明的货物包装方式、检验标准和方法等不符合</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文件的要求；</w:t>
            </w:r>
          </w:p>
          <w:p w14:paraId="12752269">
            <w:pPr>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（15）</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文件附有</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人不能接受的条件；</w:t>
            </w:r>
          </w:p>
          <w:p w14:paraId="11B92578">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（16）不符合</w:t>
            </w:r>
            <w:r>
              <w:rPr>
                <w:rFonts w:hint="eastAsia" w:asciiTheme="minorEastAsia" w:hAnsiTheme="minorEastAsia" w:eastAsiaTheme="minorEastAsia" w:cstheme="minorEastAsia"/>
                <w:szCs w:val="21"/>
                <w:lang w:eastAsia="zh-CN"/>
              </w:rPr>
              <w:t>询比</w:t>
            </w:r>
            <w:r>
              <w:rPr>
                <w:rFonts w:hint="eastAsia" w:asciiTheme="minorEastAsia" w:hAnsiTheme="minorEastAsia" w:eastAsiaTheme="minorEastAsia" w:cstheme="minorEastAsia"/>
                <w:szCs w:val="21"/>
              </w:rPr>
              <w:t>文件中规定的其他实质性要求。</w:t>
            </w:r>
          </w:p>
        </w:tc>
      </w:tr>
      <w:tr w14:paraId="67F067A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vAlign w:val="center"/>
          </w:tcPr>
          <w:p w14:paraId="3975E2B4">
            <w:pPr>
              <w:autoSpaceDE w:val="0"/>
              <w:autoSpaceDN w:val="0"/>
              <w:jc w:val="center"/>
              <w:rPr>
                <w:rFonts w:cs="宋体" w:asciiTheme="minorEastAsia" w:hAnsiTheme="minorEastAsia" w:eastAsiaTheme="minorEastAsia"/>
                <w:szCs w:val="21"/>
              </w:rPr>
            </w:pPr>
          </w:p>
        </w:tc>
        <w:tc>
          <w:tcPr>
            <w:tcW w:w="1844" w:type="dxa"/>
            <w:vAlign w:val="center"/>
          </w:tcPr>
          <w:p w14:paraId="45DA0335">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3.1.3 低于成本价</w:t>
            </w:r>
          </w:p>
        </w:tc>
        <w:tc>
          <w:tcPr>
            <w:tcW w:w="5853" w:type="dxa"/>
            <w:vAlign w:val="center"/>
          </w:tcPr>
          <w:p w14:paraId="26C4F679">
            <w:pPr>
              <w:autoSpaceDE w:val="0"/>
              <w:autoSpaceDN w:val="0"/>
              <w:adjustRightInd w:val="0"/>
              <w:snapToGrid w:val="0"/>
              <w:spacing w:line="288"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人不能合理说明或者不能提供相应证明材料的，由评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委员会认定该</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人以低于成本报价竞标，评</w:t>
            </w:r>
            <w:r>
              <w:rPr>
                <w:rFonts w:hint="eastAsia" w:asciiTheme="minorEastAsia" w:hAnsiTheme="minorEastAsia" w:eastAsiaTheme="minorEastAsia" w:cstheme="minorEastAsia"/>
                <w:szCs w:val="21"/>
                <w:lang w:val="en-US" w:eastAsia="zh-CN"/>
              </w:rPr>
              <w:t>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tc>
      </w:tr>
      <w:tr w14:paraId="6227C5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840" w:type="dxa"/>
            <w:vMerge w:val="continue"/>
            <w:tcBorders>
              <w:bottom w:val="single" w:color="auto" w:sz="4" w:space="0"/>
            </w:tcBorders>
            <w:vAlign w:val="center"/>
          </w:tcPr>
          <w:p w14:paraId="7A153DC9">
            <w:pPr>
              <w:autoSpaceDE w:val="0"/>
              <w:autoSpaceDN w:val="0"/>
              <w:jc w:val="center"/>
              <w:rPr>
                <w:rFonts w:cs="宋体" w:asciiTheme="minorEastAsia" w:hAnsiTheme="minorEastAsia" w:eastAsiaTheme="minorEastAsia"/>
                <w:szCs w:val="21"/>
              </w:rPr>
            </w:pPr>
          </w:p>
        </w:tc>
        <w:tc>
          <w:tcPr>
            <w:tcW w:w="1844" w:type="dxa"/>
            <w:vAlign w:val="center"/>
          </w:tcPr>
          <w:p w14:paraId="6E552909">
            <w:pPr>
              <w:autoSpaceDE w:val="0"/>
              <w:autoSpaceDN w:val="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3.1.4 算术修正</w:t>
            </w:r>
          </w:p>
        </w:tc>
        <w:tc>
          <w:tcPr>
            <w:tcW w:w="5853" w:type="dxa"/>
            <w:vAlign w:val="center"/>
          </w:tcPr>
          <w:p w14:paraId="234C6B7E">
            <w:pPr>
              <w:autoSpaceDE w:val="0"/>
              <w:autoSpaceDN w:val="0"/>
              <w:adjustRightInd w:val="0"/>
              <w:snapToGrid w:val="0"/>
              <w:spacing w:line="288"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报价有算术错误的，</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委员会按照以下原则对</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报价进行修正，修正的价格经</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人书面确认后具有约束力。</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人不接受修正价格的，</w:t>
            </w:r>
            <w:r>
              <w:rPr>
                <w:rFonts w:hint="eastAsia" w:asciiTheme="minorEastAsia" w:hAnsiTheme="minorEastAsia" w:eastAsiaTheme="minorEastAsia" w:cstheme="minorEastAsia"/>
                <w:szCs w:val="21"/>
                <w:lang w:eastAsia="zh-CN"/>
              </w:rPr>
              <w:t>评审</w:t>
            </w:r>
            <w:r>
              <w:rPr>
                <w:rFonts w:hint="eastAsia" w:asciiTheme="minorEastAsia" w:hAnsiTheme="minorEastAsia" w:eastAsiaTheme="minorEastAsia" w:cstheme="minorEastAsia"/>
                <w:szCs w:val="21"/>
              </w:rPr>
              <w:t>委员会应当否决其</w:t>
            </w:r>
            <w:r>
              <w:rPr>
                <w:rFonts w:hint="eastAsia" w:asciiTheme="minorEastAsia" w:hAnsiTheme="minorEastAsia" w:eastAsiaTheme="minorEastAsia" w:cstheme="minorEastAsia"/>
                <w:szCs w:val="21"/>
                <w:lang w:eastAsia="zh-CN"/>
              </w:rPr>
              <w:t>响应</w:t>
            </w:r>
            <w:r>
              <w:rPr>
                <w:rFonts w:hint="eastAsia" w:asciiTheme="minorEastAsia" w:hAnsiTheme="minorEastAsia" w:eastAsiaTheme="minorEastAsia" w:cstheme="minorEastAsia"/>
                <w:szCs w:val="21"/>
              </w:rPr>
              <w:t>。</w:t>
            </w:r>
          </w:p>
          <w:p w14:paraId="42A1188B">
            <w:pPr>
              <w:pStyle w:val="4"/>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响应</w:t>
            </w:r>
            <w:r>
              <w:rPr>
                <w:rFonts w:hint="eastAsia" w:asciiTheme="minorEastAsia" w:hAnsiTheme="minorEastAsia" w:eastAsiaTheme="minorEastAsia" w:cstheme="minorEastAsia"/>
                <w:sz w:val="21"/>
                <w:szCs w:val="21"/>
              </w:rPr>
              <w:t>文件中的大写金额与小写金额不一致的，以大写金额为准；</w:t>
            </w:r>
          </w:p>
          <w:p w14:paraId="331FB726">
            <w:pPr>
              <w:pStyle w:val="4"/>
              <w:ind w:firstLine="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（2）总价金额与根据单价计算出的结果不一致的，以单价金额为准修正总价，但单价金额小数点有明显错误的除外。</w:t>
            </w:r>
          </w:p>
          <w:p w14:paraId="51D43055">
            <w:pPr>
              <w:pStyle w:val="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含税金额与根据不含税金额计算出的结果不一致的，以不含税金额为准修正含税金额，但不含税金额有明显错误的除外。</w:t>
            </w:r>
          </w:p>
        </w:tc>
      </w:tr>
    </w:tbl>
    <w:p w14:paraId="0F676B92">
      <w:pPr>
        <w:pStyle w:val="36"/>
        <w:tabs>
          <w:tab w:val="left" w:pos="602"/>
        </w:tabs>
        <w:snapToGrid w:val="0"/>
        <w:spacing w:before="120" w:after="120" w:line="440" w:lineRule="exact"/>
        <w:jc w:val="left"/>
        <w:rPr>
          <w:rFonts w:hint="eastAsia" w:asciiTheme="minorEastAsia" w:hAnsiTheme="minorEastAsia" w:eastAsiaTheme="minorEastAsia"/>
          <w:sz w:val="28"/>
          <w:szCs w:val="28"/>
        </w:rPr>
        <w:sectPr>
          <w:footerReference r:id="rId8" w:type="first"/>
          <w:footerReference r:id="rId7" w:type="default"/>
          <w:pgSz w:w="11906" w:h="16838"/>
          <w:pgMar w:top="1440" w:right="1797" w:bottom="1440" w:left="1797" w:header="851" w:footer="992" w:gutter="0"/>
          <w:pgNumType w:fmt="decimal"/>
          <w:cols w:space="720" w:num="1"/>
          <w:docGrid w:type="linesAndChars" w:linePitch="312" w:charSpace="0"/>
        </w:sectPr>
      </w:pPr>
    </w:p>
    <w:bookmarkEnd w:id="64"/>
    <w:bookmarkEnd w:id="65"/>
    <w:bookmarkEnd w:id="66"/>
    <w:bookmarkEnd w:id="67"/>
    <w:bookmarkEnd w:id="68"/>
    <w:p w14:paraId="7D3495EA">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69" w:name="_Toc8246"/>
      <w:bookmarkStart w:id="70" w:name="_Toc29294"/>
      <w:bookmarkStart w:id="71" w:name="_Toc31249"/>
      <w:bookmarkStart w:id="72" w:name="_Toc5646"/>
      <w:bookmarkStart w:id="73" w:name="_Toc782"/>
      <w:bookmarkStart w:id="74" w:name="_Toc6230"/>
      <w:bookmarkStart w:id="75" w:name="_Toc16142"/>
      <w:bookmarkStart w:id="76" w:name="_Toc21800"/>
      <w:bookmarkStart w:id="77" w:name="_Toc31630"/>
      <w:bookmarkStart w:id="78" w:name="_Toc23889"/>
      <w:bookmarkStart w:id="79" w:name="_Toc30100"/>
      <w:bookmarkStart w:id="80" w:name="_Toc28292"/>
      <w:bookmarkStart w:id="81" w:name="_Toc17660"/>
      <w:bookmarkStart w:id="82" w:name="_Toc29654"/>
      <w:bookmarkStart w:id="83" w:name="_Toc15429"/>
      <w:bookmarkStart w:id="84" w:name="_Toc2716"/>
      <w:r>
        <w:rPr>
          <w:rFonts w:hint="eastAsia" w:asciiTheme="minorEastAsia" w:hAnsiTheme="minorEastAsia" w:eastAsiaTheme="minorEastAsia"/>
          <w:sz w:val="28"/>
          <w:szCs w:val="28"/>
        </w:rPr>
        <w:t>总则</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6568305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5" w:name="_Toc152042306"/>
      <w:bookmarkStart w:id="86" w:name="_Toc246996176"/>
      <w:bookmarkStart w:id="87" w:name="_Toc29319"/>
      <w:bookmarkStart w:id="88" w:name="_Toc26846"/>
      <w:bookmarkStart w:id="89" w:name="_Toc447265503"/>
      <w:bookmarkStart w:id="90" w:name="_Toc13348"/>
      <w:bookmarkStart w:id="91" w:name="_Toc20902"/>
      <w:bookmarkStart w:id="92" w:name="_Toc9650"/>
      <w:bookmarkStart w:id="93" w:name="_Toc20301"/>
      <w:bookmarkStart w:id="94" w:name="_Toc25739"/>
      <w:bookmarkStart w:id="95" w:name="_Toc27890"/>
      <w:bookmarkStart w:id="96" w:name="_Toc6361"/>
      <w:bookmarkStart w:id="97" w:name="_Toc28765"/>
      <w:bookmarkStart w:id="98" w:name="_Toc27701"/>
      <w:bookmarkStart w:id="99" w:name="_Toc1093"/>
      <w:bookmarkStart w:id="100" w:name="_Toc296602421"/>
      <w:bookmarkStart w:id="101" w:name="_Toc179632547"/>
      <w:bookmarkStart w:id="102" w:name="_Toc20338"/>
      <w:bookmarkStart w:id="103" w:name="_Toc21218"/>
      <w:bookmarkStart w:id="104" w:name="_Toc2382"/>
      <w:bookmarkStart w:id="105" w:name="_Toc152045530"/>
      <w:bookmarkStart w:id="106" w:name="_Toc447265217"/>
      <w:bookmarkStart w:id="107" w:name="_Toc144974498"/>
      <w:bookmarkStart w:id="108" w:name="_Toc447188668"/>
      <w:bookmarkStart w:id="109" w:name="_Toc5018"/>
      <w:bookmarkStart w:id="110" w:name="_Toc246996919"/>
      <w:bookmarkStart w:id="111" w:name="_Toc247085690"/>
      <w:r>
        <w:rPr>
          <w:rFonts w:hint="eastAsia" w:asciiTheme="minorEastAsia" w:hAnsiTheme="minorEastAsia" w:eastAsiaTheme="minorEastAsia"/>
          <w:sz w:val="24"/>
          <w:szCs w:val="24"/>
        </w:rPr>
        <w:t>1.1项目概况</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691336AB">
      <w:pPr>
        <w:pStyle w:val="21"/>
        <w:tabs>
          <w:tab w:val="left" w:pos="630"/>
        </w:tabs>
        <w:snapToGrid w:val="0"/>
        <w:spacing w:line="440" w:lineRule="exact"/>
        <w:ind w:firstLine="424" w:firstLineChars="202"/>
        <w:rPr>
          <w:rFonts w:cs="宋体"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1.1</w:t>
      </w:r>
      <w:r>
        <w:rPr>
          <w:rFonts w:hint="eastAsia" w:asciiTheme="minorEastAsia" w:hAnsiTheme="minorEastAsia" w:eastAsiaTheme="minorEastAsia"/>
        </w:rPr>
        <w:t>根据《中国电信集团采购管理办法》《中国电信集团询比采购管理办法》等有关规章制度规定，本询比项目已具备采购条件，现对本项目进行询比。</w:t>
      </w:r>
    </w:p>
    <w:p w14:paraId="2D0B655E">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1.1.2</w:t>
      </w:r>
      <w:r>
        <w:rPr>
          <w:rFonts w:hint="eastAsia" w:asciiTheme="minorEastAsia" w:hAnsiTheme="minorEastAsia" w:eastAsiaTheme="minorEastAsia"/>
        </w:rPr>
        <w:t>采购人：采购人单位名称及联系方式见供应商须知前附表。</w:t>
      </w:r>
    </w:p>
    <w:p w14:paraId="293C9EF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w:t>
      </w:r>
      <w:r>
        <w:rPr>
          <w:rFonts w:asciiTheme="minorEastAsia" w:hAnsiTheme="minorEastAsia" w:eastAsiaTheme="minorEastAsia"/>
        </w:rPr>
        <w:t>.1</w:t>
      </w:r>
      <w:r>
        <w:rPr>
          <w:rFonts w:hint="eastAsia" w:asciiTheme="minorEastAsia" w:hAnsiTheme="minorEastAsia" w:eastAsiaTheme="minorEastAsia"/>
        </w:rPr>
        <w:t>.3项目名称：项目名称及项目编号见供应商须知前附表。</w:t>
      </w:r>
    </w:p>
    <w:p w14:paraId="15AB3F14">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12" w:name="_Toc447188669"/>
      <w:bookmarkStart w:id="113" w:name="_Toc226969279"/>
      <w:bookmarkStart w:id="114" w:name="_Toc227057886"/>
      <w:bookmarkStart w:id="115" w:name="_Toc5874"/>
      <w:bookmarkStart w:id="116" w:name="_Toc15668"/>
      <w:bookmarkStart w:id="117" w:name="_Toc30983"/>
      <w:bookmarkStart w:id="118" w:name="_Toc3650"/>
      <w:bookmarkStart w:id="119" w:name="_Toc10000"/>
      <w:bookmarkStart w:id="120" w:name="_Toc14315"/>
      <w:bookmarkStart w:id="121" w:name="_Toc21244"/>
      <w:bookmarkStart w:id="122" w:name="_Toc447265504"/>
      <w:bookmarkStart w:id="123" w:name="_Toc7920"/>
      <w:bookmarkStart w:id="124" w:name="_Toc9661"/>
      <w:bookmarkStart w:id="125" w:name="_Toc25838"/>
      <w:bookmarkStart w:id="126" w:name="_Toc30659"/>
      <w:bookmarkStart w:id="127" w:name="_Toc447265218"/>
      <w:bookmarkStart w:id="128" w:name="_Toc29717"/>
      <w:bookmarkStart w:id="129" w:name="_Toc12156"/>
      <w:bookmarkStart w:id="130" w:name="_Toc4415"/>
      <w:bookmarkStart w:id="131" w:name="_Toc10332"/>
      <w:bookmarkStart w:id="132" w:name="_Toc12572"/>
      <w:r>
        <w:rPr>
          <w:rFonts w:hint="eastAsia" w:asciiTheme="minorEastAsia" w:hAnsiTheme="minorEastAsia" w:eastAsiaTheme="minorEastAsia"/>
          <w:sz w:val="24"/>
          <w:szCs w:val="24"/>
        </w:rPr>
        <w:t>1.2资金</w:t>
      </w:r>
      <w:bookmarkEnd w:id="112"/>
      <w:bookmarkEnd w:id="113"/>
      <w:bookmarkEnd w:id="114"/>
      <w:r>
        <w:rPr>
          <w:rFonts w:hint="eastAsia" w:asciiTheme="minorEastAsia" w:hAnsiTheme="minorEastAsia" w:eastAsiaTheme="minorEastAsia"/>
          <w:sz w:val="24"/>
          <w:szCs w:val="24"/>
        </w:rPr>
        <w:t>落实情况</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659F9178">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本项目资金已落实。</w:t>
      </w:r>
    </w:p>
    <w:p w14:paraId="359C931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33" w:name="_Toc447265505"/>
      <w:bookmarkStart w:id="134" w:name="_Toc24444"/>
      <w:bookmarkStart w:id="135" w:name="_Toc18113"/>
      <w:bookmarkStart w:id="136" w:name="_Toc6288"/>
      <w:bookmarkStart w:id="137" w:name="_Toc20020"/>
      <w:bookmarkStart w:id="138" w:name="_Toc5127"/>
      <w:bookmarkStart w:id="139" w:name="_Toc6988"/>
      <w:bookmarkStart w:id="140" w:name="_Toc27167"/>
      <w:bookmarkStart w:id="141" w:name="_Toc2607"/>
      <w:bookmarkStart w:id="142" w:name="_Toc28577"/>
      <w:bookmarkStart w:id="143" w:name="_Toc18183"/>
      <w:bookmarkStart w:id="144" w:name="_Toc5159"/>
      <w:bookmarkStart w:id="145" w:name="_Toc20062"/>
      <w:bookmarkStart w:id="146" w:name="_Toc24356"/>
      <w:bookmarkStart w:id="147" w:name="_Toc447265219"/>
      <w:bookmarkStart w:id="148" w:name="_Toc30566"/>
      <w:bookmarkStart w:id="149" w:name="_Toc447188670"/>
      <w:bookmarkStart w:id="150" w:name="_Toc14815"/>
      <w:bookmarkStart w:id="151" w:name="_Toc24509"/>
      <w:r>
        <w:rPr>
          <w:rFonts w:hint="eastAsia" w:asciiTheme="minorEastAsia" w:hAnsiTheme="minorEastAsia" w:eastAsiaTheme="minorEastAsia"/>
          <w:sz w:val="24"/>
          <w:szCs w:val="24"/>
        </w:rPr>
        <w:t>1.3采购范围</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52C2D14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本项目采购范围：见供应商须知前附表。</w:t>
      </w:r>
    </w:p>
    <w:p w14:paraId="16E3BCC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52" w:name="_Toc17537"/>
      <w:bookmarkStart w:id="153" w:name="_Toc14221"/>
      <w:bookmarkStart w:id="154" w:name="_Toc26180"/>
      <w:bookmarkStart w:id="155" w:name="_Toc7492"/>
      <w:bookmarkStart w:id="156" w:name="_Toc11106"/>
      <w:bookmarkStart w:id="157" w:name="_Toc16580"/>
      <w:bookmarkStart w:id="158" w:name="_Toc5200"/>
      <w:bookmarkStart w:id="159" w:name="_Toc2260"/>
      <w:bookmarkStart w:id="160" w:name="_Toc5297"/>
      <w:bookmarkStart w:id="161" w:name="_Toc19005"/>
      <w:bookmarkStart w:id="162" w:name="_Toc5152"/>
      <w:bookmarkStart w:id="163" w:name="_Toc11611"/>
      <w:bookmarkStart w:id="164" w:name="_Toc27860"/>
      <w:bookmarkStart w:id="165" w:name="_Toc14084"/>
      <w:bookmarkStart w:id="166" w:name="_Toc607"/>
      <w:bookmarkStart w:id="167" w:name="_Toc11161"/>
      <w:r>
        <w:rPr>
          <w:rFonts w:hint="eastAsia" w:asciiTheme="minorEastAsia" w:hAnsiTheme="minorEastAsia" w:eastAsiaTheme="minorEastAsia"/>
          <w:sz w:val="24"/>
          <w:szCs w:val="24"/>
        </w:rPr>
        <w:t>1.4标包划分</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39CD0CC8">
      <w:pPr>
        <w:pStyle w:val="21"/>
        <w:tabs>
          <w:tab w:val="left" w:pos="630"/>
        </w:tabs>
        <w:snapToGrid w:val="0"/>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本项目标包划分情况见供应商须知前附表。</w:t>
      </w:r>
    </w:p>
    <w:p w14:paraId="0A70383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68" w:name="_Toc26981"/>
      <w:bookmarkStart w:id="169" w:name="_Toc227057888"/>
      <w:bookmarkStart w:id="170" w:name="_Toc12052"/>
      <w:bookmarkStart w:id="171" w:name="_Toc107822486"/>
      <w:bookmarkStart w:id="172" w:name="_Toc447265507"/>
      <w:bookmarkStart w:id="173" w:name="_Toc27187"/>
      <w:bookmarkStart w:id="174" w:name="_Toc12765"/>
      <w:bookmarkStart w:id="175" w:name="_Toc226969281"/>
      <w:bookmarkStart w:id="176" w:name="_Toc1921"/>
      <w:bookmarkStart w:id="177" w:name="_Toc17116"/>
      <w:bookmarkStart w:id="178" w:name="_Toc8460"/>
      <w:bookmarkStart w:id="179" w:name="_Toc23510"/>
      <w:bookmarkStart w:id="180" w:name="_Toc447265221"/>
      <w:bookmarkStart w:id="181" w:name="_Toc6006"/>
      <w:bookmarkStart w:id="182" w:name="_Toc3993"/>
      <w:bookmarkStart w:id="183" w:name="_Toc32619"/>
      <w:bookmarkStart w:id="184" w:name="_Toc195"/>
      <w:bookmarkStart w:id="185" w:name="_Toc447188672"/>
      <w:bookmarkStart w:id="186" w:name="_Toc32303"/>
      <w:bookmarkStart w:id="187" w:name="_Toc21343"/>
      <w:bookmarkStart w:id="188" w:name="_Toc29783"/>
      <w:bookmarkStart w:id="189" w:name="_Toc23281"/>
      <w:r>
        <w:rPr>
          <w:rFonts w:hint="eastAsia" w:asciiTheme="minorEastAsia" w:hAnsiTheme="minorEastAsia" w:eastAsiaTheme="minorEastAsia"/>
          <w:sz w:val="24"/>
          <w:szCs w:val="24"/>
        </w:rPr>
        <w:t>1.5询比方式</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0E2A3F00">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1.5.1询比方式见供应商须知前附表。</w:t>
      </w:r>
    </w:p>
    <w:p w14:paraId="05BF976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1.5.2公开询比，是指采购人以询比公告的方式邀请不特定的法人或者其他组织参加询比响应。</w:t>
      </w:r>
    </w:p>
    <w:p w14:paraId="221F167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1.5.3</w:t>
      </w:r>
      <w:r>
        <w:rPr>
          <w:rFonts w:hint="eastAsia" w:asciiTheme="minorEastAsia" w:hAnsiTheme="minorEastAsia" w:eastAsiaTheme="minorEastAsia"/>
        </w:rPr>
        <w:t>邀请询比，是指采购人以询比邀请书的方式邀请特定的法人或者其他组织参加询比响应。</w:t>
      </w:r>
    </w:p>
    <w:p w14:paraId="1DACBB5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90" w:name="_Toc226969280"/>
      <w:bookmarkStart w:id="191" w:name="_Toc10017"/>
      <w:bookmarkStart w:id="192" w:name="_Toc227057887"/>
      <w:bookmarkStart w:id="193" w:name="_Toc451"/>
      <w:bookmarkStart w:id="194" w:name="_Toc447188673"/>
      <w:bookmarkStart w:id="195" w:name="_Toc24601"/>
      <w:bookmarkStart w:id="196" w:name="_Toc31553"/>
      <w:bookmarkStart w:id="197" w:name="_Toc447265222"/>
      <w:bookmarkStart w:id="198" w:name="_Toc107822485"/>
      <w:bookmarkStart w:id="199" w:name="_Toc20144"/>
      <w:bookmarkStart w:id="200" w:name="_Toc447265508"/>
      <w:bookmarkStart w:id="201" w:name="_Toc32563"/>
      <w:bookmarkStart w:id="202" w:name="_Toc26066"/>
      <w:bookmarkStart w:id="203" w:name="_Toc1701"/>
      <w:bookmarkStart w:id="204" w:name="_Toc4240"/>
      <w:bookmarkStart w:id="205" w:name="_Toc23217"/>
      <w:bookmarkStart w:id="206" w:name="_Toc16766"/>
      <w:bookmarkStart w:id="207" w:name="_Toc14526"/>
      <w:bookmarkStart w:id="208" w:name="_Toc14945"/>
      <w:bookmarkStart w:id="209" w:name="_Toc3775"/>
      <w:bookmarkStart w:id="210" w:name="_Toc7533"/>
      <w:bookmarkStart w:id="211" w:name="_Toc20813"/>
      <w:bookmarkStart w:id="212" w:name="_Toc226969282"/>
      <w:bookmarkStart w:id="213" w:name="_Toc227057889"/>
      <w:r>
        <w:rPr>
          <w:rFonts w:hint="eastAsia" w:asciiTheme="minorEastAsia" w:hAnsiTheme="minorEastAsia" w:eastAsiaTheme="minorEastAsia"/>
          <w:sz w:val="24"/>
          <w:szCs w:val="24"/>
        </w:rPr>
        <w:t>1.6询比组织形式</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p>
    <w:p w14:paraId="069C3E6C">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本项目由采购人自行组织</w:t>
      </w:r>
      <w:r>
        <w:rPr>
          <w:rFonts w:cs="宋体" w:asciiTheme="minorEastAsia" w:hAnsiTheme="minorEastAsia" w:eastAsiaTheme="minorEastAsia"/>
          <w:szCs w:val="21"/>
        </w:rPr>
        <w:t>/委托</w:t>
      </w:r>
      <w:r>
        <w:rPr>
          <w:rFonts w:hint="eastAsia" w:cs="宋体" w:asciiTheme="minorEastAsia" w:hAnsiTheme="minorEastAsia" w:eastAsiaTheme="minorEastAsia"/>
          <w:szCs w:val="21"/>
        </w:rPr>
        <w:t>采购代理机构采用代理询比的方式进行，询比组织形式、采购代理机构名称及联系方式见供应商须知前附表。</w:t>
      </w:r>
    </w:p>
    <w:p w14:paraId="331356B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14" w:name="_Toc447265223"/>
      <w:bookmarkStart w:id="215" w:name="_Toc23165"/>
      <w:bookmarkStart w:id="216" w:name="_Toc25096"/>
      <w:bookmarkStart w:id="217" w:name="_Toc15263"/>
      <w:bookmarkStart w:id="218" w:name="_Toc5118"/>
      <w:bookmarkStart w:id="219" w:name="_Toc447188674"/>
      <w:bookmarkStart w:id="220" w:name="_Toc20843"/>
      <w:bookmarkStart w:id="221" w:name="_Toc447265509"/>
      <w:bookmarkStart w:id="222" w:name="_Toc5164"/>
      <w:bookmarkStart w:id="223" w:name="_Toc14713"/>
      <w:bookmarkStart w:id="224" w:name="_Toc18131"/>
      <w:bookmarkStart w:id="225" w:name="_Toc10964"/>
      <w:bookmarkStart w:id="226" w:name="_Toc28639"/>
      <w:bookmarkStart w:id="227" w:name="_Toc10770"/>
      <w:bookmarkStart w:id="228" w:name="_Toc6359"/>
      <w:bookmarkStart w:id="229" w:name="_Toc23180"/>
      <w:bookmarkStart w:id="230" w:name="_Toc21499"/>
      <w:bookmarkStart w:id="231" w:name="_Toc24157"/>
      <w:bookmarkStart w:id="232" w:name="_Toc17788"/>
      <w:r>
        <w:rPr>
          <w:rFonts w:hint="eastAsia" w:asciiTheme="minorEastAsia" w:hAnsiTheme="minorEastAsia" w:eastAsiaTheme="minorEastAsia"/>
          <w:sz w:val="24"/>
          <w:szCs w:val="24"/>
        </w:rPr>
        <w:t>1.7资格审查</w:t>
      </w:r>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07F2FED5">
      <w:pPr>
        <w:adjustRightInd w:val="0"/>
        <w:snapToGrid w:val="0"/>
        <w:spacing w:line="440" w:lineRule="exact"/>
        <w:ind w:firstLine="424" w:firstLineChars="202"/>
        <w:rPr>
          <w:rFonts w:cs="宋体" w:asciiTheme="minorEastAsia" w:hAnsiTheme="minorEastAsia" w:eastAsiaTheme="minorEastAsia"/>
          <w:szCs w:val="21"/>
        </w:rPr>
      </w:pPr>
      <w:bookmarkStart w:id="233" w:name="_Toc447265510"/>
      <w:bookmarkStart w:id="234" w:name="_Toc447188675"/>
      <w:bookmarkStart w:id="235" w:name="_Toc447265224"/>
      <w:r>
        <w:rPr>
          <w:rFonts w:hint="eastAsia" w:cs="宋体" w:asciiTheme="minorEastAsia" w:hAnsiTheme="minorEastAsia" w:eastAsiaTheme="minorEastAsia"/>
          <w:szCs w:val="21"/>
        </w:rPr>
        <w:t>1.7.1本询比项目资格审查方式见供应商须知前附表。</w:t>
      </w:r>
    </w:p>
    <w:p w14:paraId="1026DC0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1.7.2资格预审是指在发出询比文件或者询比邀请书前，由资格审查委员会进行的资格审查。采用资格预审方式的，资格条件已经在询比文件发出前的“资格预审文件”中做出规定。</w:t>
      </w:r>
    </w:p>
    <w:p w14:paraId="3DD3467E">
      <w:pPr>
        <w:pStyle w:val="21"/>
        <w:tabs>
          <w:tab w:val="left" w:pos="630"/>
        </w:tabs>
        <w:snapToGrid w:val="0"/>
        <w:spacing w:line="440" w:lineRule="exact"/>
        <w:ind w:firstLine="424" w:firstLineChars="202"/>
        <w:rPr>
          <w:rFonts w:asciiTheme="minorEastAsia" w:hAnsiTheme="minorEastAsia" w:eastAsiaTheme="minorEastAsia"/>
        </w:rPr>
      </w:pPr>
      <w:bookmarkStart w:id="236" w:name="_Toc226969283"/>
      <w:r>
        <w:rPr>
          <w:rFonts w:hint="eastAsia" w:asciiTheme="minorEastAsia" w:hAnsiTheme="minorEastAsia" w:eastAsiaTheme="minorEastAsia"/>
        </w:rPr>
        <w:t>资格后审是指在评审阶段，由评审委员会进行的资格审查。</w:t>
      </w:r>
      <w:bookmarkEnd w:id="236"/>
      <w:r>
        <w:rPr>
          <w:rFonts w:hint="eastAsia" w:asciiTheme="minorEastAsia" w:hAnsiTheme="minorEastAsia" w:eastAsiaTheme="minorEastAsia"/>
        </w:rPr>
        <w:t>采用资格后审方式的，供应商应当具备的资格条件见供应商须知前附表。</w:t>
      </w:r>
    </w:p>
    <w:p w14:paraId="690ED3F3">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采用资格后审的，采购人必须在询比文件中详细规定资格审查标准和方法。</w:t>
      </w:r>
    </w:p>
    <w:p w14:paraId="78E5FD1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资格后审一般包括下列内容：</w:t>
      </w:r>
    </w:p>
    <w:p w14:paraId="2A2B9089">
      <w:pPr>
        <w:numPr>
          <w:ilvl w:val="0"/>
          <w:numId w:val="8"/>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资格要求；</w:t>
      </w:r>
    </w:p>
    <w:p w14:paraId="64549356">
      <w:pPr>
        <w:numPr>
          <w:ilvl w:val="0"/>
          <w:numId w:val="8"/>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其他业绩要求；</w:t>
      </w:r>
    </w:p>
    <w:p w14:paraId="1BA53398">
      <w:pPr>
        <w:numPr>
          <w:ilvl w:val="0"/>
          <w:numId w:val="8"/>
        </w:numPr>
        <w:tabs>
          <w:tab w:val="left" w:pos="644"/>
        </w:tabs>
        <w:snapToGrid w:val="0"/>
        <w:spacing w:line="440" w:lineRule="exact"/>
        <w:ind w:left="0"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审查标准和方法。</w:t>
      </w:r>
    </w:p>
    <w:p w14:paraId="2BB9108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资格后审不合格的供应商，评审委员会应当否决其响应。</w:t>
      </w:r>
    </w:p>
    <w:p w14:paraId="75BC01B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37" w:name="_Toc17365"/>
      <w:bookmarkStart w:id="238" w:name="_Toc20815"/>
      <w:bookmarkStart w:id="239" w:name="_Toc2315"/>
      <w:bookmarkStart w:id="240" w:name="_Toc6949"/>
      <w:bookmarkStart w:id="241" w:name="_Toc12189"/>
      <w:bookmarkStart w:id="242" w:name="_Toc23658"/>
      <w:bookmarkStart w:id="243" w:name="_Toc25340"/>
      <w:bookmarkStart w:id="244" w:name="_Toc9740"/>
      <w:bookmarkStart w:id="245" w:name="_Toc32290"/>
      <w:bookmarkStart w:id="246" w:name="_Toc12999"/>
      <w:bookmarkStart w:id="247" w:name="_Toc4081"/>
      <w:bookmarkStart w:id="248" w:name="_Toc31525"/>
      <w:bookmarkStart w:id="249" w:name="_Toc5371"/>
      <w:bookmarkStart w:id="250" w:name="_Toc13383"/>
      <w:bookmarkStart w:id="251" w:name="_Toc22579"/>
      <w:bookmarkStart w:id="252" w:name="_Toc8372"/>
      <w:r>
        <w:rPr>
          <w:rFonts w:hint="eastAsia" w:asciiTheme="minorEastAsia" w:hAnsiTheme="minorEastAsia" w:eastAsiaTheme="minorEastAsia"/>
          <w:sz w:val="24"/>
          <w:szCs w:val="24"/>
        </w:rPr>
        <w:t>1.8供应商不得存在的情形</w:t>
      </w:r>
      <w:bookmarkEnd w:id="233"/>
      <w:bookmarkEnd w:id="234"/>
      <w:bookmarkEnd w:id="235"/>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489B31FC">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1.8.1单位负责人为同一人或者存在控股、管理关系的不同单位，不得同时参加本项目中同一标包</w:t>
      </w:r>
      <w:r>
        <w:rPr>
          <w:rFonts w:hint="eastAsia" w:hAnsi="宋体" w:eastAsiaTheme="minorEastAsia"/>
        </w:rPr>
        <w:t>响应</w:t>
      </w:r>
      <w:r>
        <w:rPr>
          <w:rFonts w:hint="eastAsia" w:cs="宋体" w:asciiTheme="minorEastAsia" w:hAnsiTheme="minorEastAsia" w:eastAsiaTheme="minorEastAsia"/>
          <w:szCs w:val="21"/>
        </w:rPr>
        <w:t>或者未划分标包的同一项目</w:t>
      </w:r>
      <w:r>
        <w:rPr>
          <w:rFonts w:hint="eastAsia" w:hAnsi="宋体" w:eastAsiaTheme="minorEastAsia"/>
        </w:rPr>
        <w:t>响应</w:t>
      </w:r>
      <w:r>
        <w:rPr>
          <w:rFonts w:hint="eastAsia" w:cs="宋体" w:asciiTheme="minorEastAsia" w:hAnsiTheme="minorEastAsia" w:eastAsiaTheme="minorEastAsia"/>
          <w:szCs w:val="21"/>
        </w:rPr>
        <w:t>。</w:t>
      </w:r>
    </w:p>
    <w:p w14:paraId="04D95C4E">
      <w:pPr>
        <w:adjustRightInd w:val="0"/>
        <w:snapToGrid w:val="0"/>
        <w:spacing w:after="156" w:afterLines="50"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1.8.2供应商不得存在的其他情形详见第一章询比公告或询比邀请书。</w:t>
      </w:r>
    </w:p>
    <w:p w14:paraId="16644BD1">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bookmarkStart w:id="253" w:name="_Toc2398"/>
      <w:bookmarkStart w:id="254" w:name="_Toc447265225"/>
      <w:bookmarkStart w:id="255" w:name="_Toc107822487"/>
      <w:bookmarkStart w:id="256" w:name="_Toc23668"/>
      <w:bookmarkStart w:id="257" w:name="_Toc11916"/>
      <w:bookmarkStart w:id="258" w:name="_Toc922"/>
      <w:bookmarkStart w:id="259" w:name="_Toc15491"/>
      <w:bookmarkStart w:id="260" w:name="_Toc5120"/>
      <w:bookmarkStart w:id="261" w:name="_Toc227057890"/>
      <w:bookmarkStart w:id="262" w:name="_Toc16434"/>
      <w:bookmarkStart w:id="263" w:name="_Toc447188676"/>
      <w:bookmarkStart w:id="264" w:name="_Toc26665"/>
      <w:bookmarkStart w:id="265" w:name="_Toc21580"/>
      <w:bookmarkStart w:id="266" w:name="_Toc226969284"/>
      <w:bookmarkStart w:id="267" w:name="_Toc27562"/>
      <w:bookmarkStart w:id="268" w:name="_Toc21406"/>
      <w:bookmarkStart w:id="269" w:name="_Toc447265511"/>
      <w:r>
        <w:rPr>
          <w:rFonts w:hint="eastAsia" w:asciiTheme="minorEastAsia" w:hAnsiTheme="minorEastAsia" w:eastAsiaTheme="minorEastAsia"/>
          <w:szCs w:val="21"/>
        </w:rPr>
        <w:t>为采购人不具有独立法人资格的附属机构（单位）；</w:t>
      </w:r>
    </w:p>
    <w:p w14:paraId="5C791B42">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被依法暂停或取消投标/响应资格的；</w:t>
      </w:r>
    </w:p>
    <w:p w14:paraId="081F7A14">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asciiTheme="minorEastAsia" w:hAnsiTheme="minorEastAsia" w:eastAsiaTheme="minorEastAsia"/>
          <w:szCs w:val="21"/>
        </w:rPr>
        <w:t xml:space="preserve">被责令停产停业、暂扣或者吊销许可证、暂扣或者吊销执照； </w:t>
      </w:r>
    </w:p>
    <w:p w14:paraId="546D3958">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asciiTheme="minorEastAsia" w:hAnsiTheme="minorEastAsia" w:eastAsiaTheme="minorEastAsia"/>
          <w:szCs w:val="21"/>
        </w:rPr>
        <w:t xml:space="preserve">进入清算程序，或被宣告破产，或其他丧失履约能力的情形； </w:t>
      </w:r>
    </w:p>
    <w:p w14:paraId="75F7EB24">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rPr>
        <w:t>在最近三年内[响应截止时间前36个月]被相关行业主管部门或司法机关认定骗取中标/成交、严重违约、重大工程质量或者安全问题的；</w:t>
      </w:r>
    </w:p>
    <w:p w14:paraId="115B7312">
      <w:pPr>
        <w:numPr>
          <w:ilvl w:val="0"/>
          <w:numId w:val="5"/>
        </w:numPr>
        <w:tabs>
          <w:tab w:val="left" w:pos="0"/>
          <w:tab w:val="left" w:pos="993"/>
          <w:tab w:val="left" w:pos="2564"/>
        </w:tabs>
        <w:spacing w:line="440" w:lineRule="exact"/>
        <w:ind w:left="-4" w:firstLine="424"/>
        <w:rPr>
          <w:rFonts w:asciiTheme="minorEastAsia" w:hAnsiTheme="minorEastAsia" w:eastAsiaTheme="minorEastAsia"/>
        </w:rPr>
      </w:pPr>
      <w:r>
        <w:rPr>
          <w:rFonts w:hint="eastAsia" w:asciiTheme="minorEastAsia" w:hAnsiTheme="minorEastAsia" w:eastAsiaTheme="minorEastAsia"/>
        </w:rPr>
        <w:t>在最近五年内[响应截止时间前60个月]被判处单位行贿罪，且行贿行为与采购活动相关的（以“中国裁判文书网”的生效判决为准）；</w:t>
      </w:r>
    </w:p>
    <w:p w14:paraId="2780BEFB">
      <w:pPr>
        <w:numPr>
          <w:ilvl w:val="0"/>
          <w:numId w:val="5"/>
        </w:numPr>
        <w:tabs>
          <w:tab w:val="left" w:pos="0"/>
          <w:tab w:val="left" w:pos="993"/>
          <w:tab w:val="left" w:pos="2564"/>
        </w:tabs>
        <w:spacing w:line="440" w:lineRule="exact"/>
        <w:ind w:left="-4" w:firstLine="424"/>
        <w:rPr>
          <w:rFonts w:asciiTheme="minorEastAsia" w:hAnsiTheme="minorEastAsia" w:eastAsiaTheme="minorEastAsia"/>
        </w:rPr>
      </w:pPr>
      <w:r>
        <w:rPr>
          <w:rFonts w:hint="eastAsia" w:asciiTheme="minorEastAsia" w:hAnsiTheme="minorEastAsia" w:eastAsiaTheme="minorEastAsia"/>
        </w:rPr>
        <w:t>在最近五年内[响应截止时间前60个月]被判处合同诈骗罪的（以“中国裁判文书网”的生效判决为准）；</w:t>
      </w:r>
    </w:p>
    <w:p w14:paraId="6959E2F3">
      <w:pPr>
        <w:numPr>
          <w:ilvl w:val="0"/>
          <w:numId w:val="5"/>
        </w:numPr>
        <w:tabs>
          <w:tab w:val="left" w:pos="0"/>
          <w:tab w:val="left" w:pos="993"/>
          <w:tab w:val="left" w:pos="2564"/>
        </w:tabs>
        <w:spacing w:line="440" w:lineRule="exact"/>
        <w:ind w:left="-4" w:firstLine="424"/>
        <w:rPr>
          <w:rFonts w:asciiTheme="minorEastAsia" w:hAnsiTheme="minorEastAsia" w:eastAsiaTheme="minorEastAsia"/>
        </w:rPr>
      </w:pPr>
      <w:r>
        <w:rPr>
          <w:rFonts w:hint="eastAsia" w:asciiTheme="minorEastAsia" w:hAnsiTheme="minorEastAsia" w:eastAsiaTheme="minorEastAsia"/>
        </w:rPr>
        <w:t>被最高人民法院在</w:t>
      </w:r>
      <w:r>
        <w:rPr>
          <w:rFonts w:asciiTheme="minorEastAsia" w:hAnsiTheme="minorEastAsia" w:eastAsiaTheme="minorEastAsia"/>
        </w:rPr>
        <w:t>“信用中国”网站（www.creditchina.gov.cn）或各级信用信息共享平台</w:t>
      </w:r>
      <w:r>
        <w:rPr>
          <w:rFonts w:hint="eastAsia" w:asciiTheme="minorEastAsia" w:hAnsiTheme="minorEastAsia" w:eastAsiaTheme="minorEastAsia"/>
        </w:rPr>
        <w:t>中列入失信被执行人名单，已执行完毕或不再执行的除外</w:t>
      </w:r>
      <w:r>
        <w:rPr>
          <w:rFonts w:asciiTheme="minorEastAsia" w:hAnsiTheme="minorEastAsia" w:eastAsiaTheme="minorEastAsia"/>
        </w:rPr>
        <w:t>；</w:t>
      </w:r>
    </w:p>
    <w:p w14:paraId="35CCC260">
      <w:pPr>
        <w:numPr>
          <w:ilvl w:val="0"/>
          <w:numId w:val="5"/>
        </w:numPr>
        <w:tabs>
          <w:tab w:val="left" w:pos="0"/>
          <w:tab w:val="left" w:pos="993"/>
          <w:tab w:val="left" w:pos="1713"/>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为本询比项目提供过设计、编制技术规范和其他文件的咨询服务；</w:t>
      </w:r>
    </w:p>
    <w:p w14:paraId="4804FAF0">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为本工程项目的相关监理人，或者与本工程项目的相关监理人存在隶属关系或者其他利害关系；</w:t>
      </w:r>
    </w:p>
    <w:p w14:paraId="703BED95">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为本询比项目的代建人；</w:t>
      </w:r>
    </w:p>
    <w:p w14:paraId="1716ECA9">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为本询比项目的采购代理机构；</w:t>
      </w:r>
    </w:p>
    <w:p w14:paraId="3D91A72C">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与本询比项目的监理人或代建人或采购代理机构同为一个法定代表人；</w:t>
      </w:r>
    </w:p>
    <w:p w14:paraId="1179B890">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与本询比项目的监理人或代建人或采购代理机构存在控股或参股关系；</w:t>
      </w:r>
    </w:p>
    <w:p w14:paraId="025126ED">
      <w:pPr>
        <w:numPr>
          <w:ilvl w:val="0"/>
          <w:numId w:val="5"/>
        </w:numPr>
        <w:tabs>
          <w:tab w:val="left" w:pos="0"/>
          <w:tab w:val="left" w:pos="210"/>
          <w:tab w:val="left" w:pos="420"/>
          <w:tab w:val="left" w:pos="630"/>
          <w:tab w:val="left" w:pos="84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被工商行政管理机关在国家企业信用信息公示系统中列入严重违法失信企业名单</w:t>
      </w:r>
      <w:r>
        <w:rPr>
          <w:rFonts w:asciiTheme="minorEastAsia" w:hAnsiTheme="minorEastAsia" w:eastAsiaTheme="minorEastAsia"/>
          <w:szCs w:val="21"/>
        </w:rPr>
        <w:t>的；</w:t>
      </w:r>
    </w:p>
    <w:p w14:paraId="039C8337">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中国电信在职员工违规担任供应商法定代表人并参与采购活动的；</w:t>
      </w:r>
    </w:p>
    <w:p w14:paraId="0FB2347E">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中国电信集团有限公司/中国电信股份有限公司中层及以上管理人员违反有关领导人员配偶、子女及其配偶经商办企业行为管理规定，其配偶、子女及其配偶经商办企业参与采购活动的；</w:t>
      </w:r>
    </w:p>
    <w:p w14:paraId="31F9CC65">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中国电信领导人员离职或退休后三年内违反《国有企业领导人员廉洁从业若干规定》等相关规定任职、投资入股的私营企业、外资企业和中介机构</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参与其原任职单位采购活动的；</w:t>
      </w:r>
    </w:p>
    <w:p w14:paraId="5FAED2D7">
      <w:pPr>
        <w:numPr>
          <w:ilvl w:val="0"/>
          <w:numId w:val="5"/>
        </w:numPr>
        <w:tabs>
          <w:tab w:val="left" w:pos="0"/>
          <w:tab w:val="left" w:pos="210"/>
          <w:tab w:val="left" w:pos="420"/>
          <w:tab w:val="left" w:pos="630"/>
          <w:tab w:val="left" w:pos="840"/>
        </w:tabs>
        <w:spacing w:line="440" w:lineRule="exact"/>
        <w:ind w:left="-4" w:firstLine="424"/>
        <w:rPr>
          <w:rFonts w:hint="eastAsia" w:asciiTheme="minorEastAsia" w:hAnsiTheme="minorEastAsia" w:eastAsiaTheme="minorEastAsia"/>
          <w:szCs w:val="21"/>
        </w:rPr>
      </w:pPr>
      <w:r>
        <w:rPr>
          <w:rFonts w:hint="eastAsia" w:asciiTheme="minorEastAsia" w:hAnsiTheme="minorEastAsia" w:eastAsiaTheme="minorEastAsia"/>
          <w:szCs w:val="21"/>
        </w:rPr>
        <w:t>【其他按照中国电信供应商不良行为处理结果及《中国电信供应商不良行为管理规则》的结果执行规则，应对供应商</w:t>
      </w:r>
      <w:r>
        <w:rPr>
          <w:rFonts w:asciiTheme="minorEastAsia" w:hAnsiTheme="minorEastAsia" w:eastAsiaTheme="minorEastAsia"/>
          <w:szCs w:val="21"/>
        </w:rPr>
        <w:t>及</w:t>
      </w:r>
      <w:r>
        <w:rPr>
          <w:rFonts w:hint="eastAsia" w:asciiTheme="minorEastAsia" w:hAnsiTheme="minorEastAsia" w:eastAsiaTheme="minorEastAsia"/>
          <w:szCs w:val="21"/>
        </w:rPr>
        <w:t>其响应</w:t>
      </w:r>
      <w:r>
        <w:rPr>
          <w:rFonts w:asciiTheme="minorEastAsia" w:hAnsiTheme="minorEastAsia" w:eastAsiaTheme="minorEastAsia"/>
          <w:szCs w:val="21"/>
        </w:rPr>
        <w:t>产品</w:t>
      </w:r>
      <w:r>
        <w:rPr>
          <w:rFonts w:hint="eastAsia" w:asciiTheme="minorEastAsia" w:hAnsiTheme="minorEastAsia" w:eastAsiaTheme="minorEastAsia"/>
          <w:szCs w:val="21"/>
        </w:rPr>
        <w:t>在本项目中执行禁止采购处理措施的；[如涉及联合采购，请同时明确其他联合采购方的不良行为处理结果及相关规则]】</w:t>
      </w:r>
    </w:p>
    <w:p w14:paraId="2E229188">
      <w:pPr>
        <w:numPr>
          <w:ilvl w:val="0"/>
          <w:numId w:val="5"/>
        </w:numPr>
        <w:tabs>
          <w:tab w:val="left" w:pos="0"/>
        </w:tabs>
        <w:spacing w:line="440" w:lineRule="exact"/>
        <w:ind w:left="-4" w:firstLine="424"/>
        <w:rPr>
          <w:rFonts w:asciiTheme="minorEastAsia" w:hAnsiTheme="minorEastAsia" w:eastAsiaTheme="minorEastAsia"/>
          <w:szCs w:val="21"/>
        </w:rPr>
      </w:pPr>
      <w:r>
        <w:rPr>
          <w:rFonts w:hint="eastAsia" w:asciiTheme="minorEastAsia" w:hAnsiTheme="minorEastAsia" w:eastAsiaTheme="minorEastAsia"/>
          <w:szCs w:val="21"/>
        </w:rPr>
        <w:t>法律法规、询比文件限定的其他情形。</w:t>
      </w:r>
    </w:p>
    <w:p w14:paraId="3D13A243">
      <w:pPr>
        <w:spacing w:line="440" w:lineRule="exact"/>
        <w:ind w:firstLine="420" w:firstLineChars="200"/>
        <w:rPr>
          <w:rFonts w:hint="eastAsia" w:cs="宋体" w:asciiTheme="minorEastAsia" w:hAnsiTheme="minorEastAsia" w:eastAsiaTheme="minorEastAsia"/>
          <w:szCs w:val="21"/>
        </w:rPr>
      </w:pPr>
      <w:r>
        <w:rPr>
          <w:rFonts w:hint="eastAsia" w:asciiTheme="minorEastAsia" w:hAnsiTheme="minorEastAsia" w:eastAsiaTheme="minorEastAsia"/>
          <w:szCs w:val="21"/>
        </w:rPr>
        <w:t>供应商是代理商的，本条所指的供应商也包括其所代理的制造商；联合体响应的，联合体成员均不得存在上述任一情形。</w:t>
      </w:r>
    </w:p>
    <w:p w14:paraId="08122AD4">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270" w:name="_Toc20646"/>
      <w:bookmarkStart w:id="271" w:name="_Toc2703"/>
      <w:bookmarkStart w:id="272" w:name="_Toc25192"/>
      <w:bookmarkStart w:id="273" w:name="_Toc28335"/>
      <w:bookmarkStart w:id="274" w:name="_Toc15813"/>
      <w:r>
        <w:rPr>
          <w:rFonts w:hint="eastAsia" w:asciiTheme="minorEastAsia" w:hAnsiTheme="minorEastAsia" w:eastAsiaTheme="minorEastAsia"/>
          <w:sz w:val="24"/>
          <w:szCs w:val="24"/>
        </w:rPr>
        <w:t>1.9合格的货物和服务</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3C01C92E">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1.9.1供应商提供的所有货物及其有关服务的原产地，均应当来自中国或者是与中国有正常贸易往来的国家或者地区。采购人的支付也仅限于这些货物和服务。</w:t>
      </w:r>
    </w:p>
    <w:p w14:paraId="2B8FAC1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1.9.2本询比文件所属的“原产地”是指货物开采、生长、生产或者提供有关服务的来源地。所述的“货物”是指制造、加工或者实质上装配了主要部件而形成的货物。商业上公认的产品是指基本特征、性能或者功能上与部件有着实质性区别的产品。</w:t>
      </w:r>
    </w:p>
    <w:p w14:paraId="41CA1260">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1.9.3供应商提供的所有货物及其有关服务应当符合国家规定的资格条件。</w:t>
      </w:r>
    </w:p>
    <w:p w14:paraId="002FB7CF">
      <w:pPr>
        <w:pStyle w:val="36"/>
        <w:tabs>
          <w:tab w:val="left" w:pos="588"/>
        </w:tabs>
        <w:snapToGrid w:val="0"/>
        <w:spacing w:before="120" w:after="120" w:line="440" w:lineRule="exact"/>
        <w:ind w:firstLine="241" w:firstLineChars="100"/>
        <w:jc w:val="left"/>
        <w:outlineLvl w:val="2"/>
        <w:rPr>
          <w:rFonts w:asciiTheme="minorEastAsia" w:hAnsiTheme="minorEastAsia" w:eastAsiaTheme="minorEastAsia"/>
          <w:sz w:val="24"/>
          <w:szCs w:val="24"/>
        </w:rPr>
      </w:pPr>
      <w:bookmarkStart w:id="275" w:name="_Toc18862"/>
      <w:bookmarkStart w:id="276" w:name="_Toc14852"/>
      <w:bookmarkStart w:id="277" w:name="_Toc25317"/>
      <w:bookmarkStart w:id="278" w:name="_Toc447265226"/>
      <w:bookmarkStart w:id="279" w:name="_Toc447188677"/>
      <w:bookmarkStart w:id="280" w:name="_Toc5117"/>
      <w:bookmarkStart w:id="281" w:name="_Toc8760"/>
      <w:bookmarkStart w:id="282" w:name="_Toc107822488"/>
      <w:bookmarkStart w:id="283" w:name="_Toc6116"/>
      <w:bookmarkStart w:id="284" w:name="_Toc19047"/>
      <w:bookmarkStart w:id="285" w:name="_Toc226969285"/>
      <w:bookmarkStart w:id="286" w:name="_Toc14219"/>
      <w:bookmarkStart w:id="287" w:name="_Toc227057891"/>
      <w:bookmarkStart w:id="288" w:name="_Toc447265512"/>
      <w:bookmarkStart w:id="289" w:name="_Toc23539"/>
      <w:bookmarkStart w:id="290" w:name="_Toc6708"/>
      <w:bookmarkStart w:id="291" w:name="_Toc20566"/>
      <w:bookmarkStart w:id="292" w:name="_Toc127"/>
      <w:bookmarkStart w:id="293" w:name="_Toc31062"/>
      <w:bookmarkStart w:id="294" w:name="_Toc6656"/>
      <w:bookmarkStart w:id="295" w:name="_Toc16853"/>
      <w:bookmarkStart w:id="296" w:name="_Toc27155"/>
      <w:r>
        <w:rPr>
          <w:rFonts w:hint="eastAsia" w:asciiTheme="minorEastAsia" w:hAnsiTheme="minorEastAsia" w:eastAsiaTheme="minorEastAsia"/>
          <w:sz w:val="24"/>
          <w:szCs w:val="24"/>
        </w:rPr>
        <w:t>1.10响应费用</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41AB25E3">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不论结果如何，供应商自行承担所有准备和参与询比响应有关的费用。</w:t>
      </w:r>
      <w:bookmarkStart w:id="297" w:name="_Toc107822489"/>
      <w:bookmarkStart w:id="298" w:name="_Toc226969286"/>
      <w:bookmarkStart w:id="299" w:name="_Toc227057892"/>
    </w:p>
    <w:p w14:paraId="5DD95D5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00" w:name="_Toc6812"/>
      <w:bookmarkStart w:id="301" w:name="_Toc30000"/>
      <w:bookmarkStart w:id="302" w:name="_Toc3720"/>
      <w:bookmarkStart w:id="303" w:name="_Toc24758"/>
      <w:bookmarkStart w:id="304" w:name="_Toc27836"/>
      <w:bookmarkStart w:id="305" w:name="_Toc32505"/>
      <w:bookmarkStart w:id="306" w:name="_Toc20436"/>
      <w:bookmarkStart w:id="307" w:name="_Toc447265513"/>
      <w:bookmarkStart w:id="308" w:name="_Toc21593"/>
      <w:bookmarkStart w:id="309" w:name="_Toc11428"/>
      <w:bookmarkStart w:id="310" w:name="_Toc8598"/>
      <w:bookmarkStart w:id="311" w:name="_Toc12131"/>
      <w:bookmarkStart w:id="312" w:name="_Toc15156"/>
      <w:bookmarkStart w:id="313" w:name="_Toc13768"/>
      <w:bookmarkStart w:id="314" w:name="_Toc12882"/>
      <w:bookmarkStart w:id="315" w:name="_Toc9406"/>
      <w:bookmarkStart w:id="316" w:name="_Toc447265227"/>
      <w:bookmarkStart w:id="317" w:name="_Toc5952"/>
      <w:r>
        <w:rPr>
          <w:rFonts w:hint="eastAsia" w:asciiTheme="minorEastAsia" w:hAnsiTheme="minorEastAsia" w:eastAsiaTheme="minorEastAsia"/>
          <w:sz w:val="24"/>
          <w:szCs w:val="24"/>
        </w:rPr>
        <w:t>1.11保密</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76DDCB35">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参与询比活动的各方应当对询比文件和响应文件中的商业和技术等秘密保密，违者应当对由此造成的后果承担法律责任。</w:t>
      </w:r>
    </w:p>
    <w:p w14:paraId="35C9A7D7">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318" w:name="_Toc1854"/>
      <w:bookmarkStart w:id="319" w:name="_Toc9236"/>
      <w:bookmarkStart w:id="320" w:name="_Toc10726"/>
      <w:bookmarkStart w:id="321" w:name="_Toc20228"/>
      <w:bookmarkStart w:id="322" w:name="_Toc6756"/>
      <w:bookmarkStart w:id="323" w:name="_Toc25891"/>
      <w:bookmarkStart w:id="324" w:name="_Toc25026"/>
      <w:bookmarkStart w:id="325" w:name="_Toc9642"/>
      <w:bookmarkStart w:id="326" w:name="_Toc22949"/>
      <w:bookmarkStart w:id="327" w:name="_Toc26389"/>
      <w:bookmarkStart w:id="328" w:name="_Toc29701"/>
      <w:bookmarkStart w:id="329" w:name="_Toc30138"/>
      <w:bookmarkStart w:id="330" w:name="_Toc28036"/>
      <w:bookmarkStart w:id="331" w:name="_Toc29624"/>
      <w:bookmarkStart w:id="332" w:name="_Toc30875"/>
      <w:r>
        <w:rPr>
          <w:rFonts w:hint="eastAsia" w:asciiTheme="minorEastAsia" w:hAnsiTheme="minorEastAsia" w:eastAsiaTheme="minorEastAsia"/>
          <w:sz w:val="28"/>
          <w:szCs w:val="28"/>
        </w:rPr>
        <w:t>询比文件</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r>
        <w:rPr>
          <w:rFonts w:hint="eastAsia" w:asciiTheme="minorEastAsia" w:hAnsiTheme="minorEastAsia" w:eastAsiaTheme="minorEastAsia"/>
          <w:sz w:val="28"/>
          <w:szCs w:val="28"/>
        </w:rPr>
        <w:t xml:space="preserve"> </w:t>
      </w:r>
    </w:p>
    <w:p w14:paraId="1438B90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33" w:name="_Toc20760"/>
      <w:bookmarkStart w:id="334" w:name="_Toc17787"/>
      <w:bookmarkStart w:id="335" w:name="_Toc447265515"/>
      <w:bookmarkStart w:id="336" w:name="_Toc447188679"/>
      <w:bookmarkStart w:id="337" w:name="_Toc26566"/>
      <w:bookmarkStart w:id="338" w:name="_Toc11807"/>
      <w:bookmarkStart w:id="339" w:name="_Toc2917"/>
      <w:bookmarkStart w:id="340" w:name="_Toc1880"/>
      <w:bookmarkStart w:id="341" w:name="_Toc6113"/>
      <w:bookmarkStart w:id="342" w:name="_Toc7320"/>
      <w:bookmarkStart w:id="343" w:name="_Toc447265229"/>
      <w:bookmarkStart w:id="344" w:name="_Toc5915"/>
      <w:bookmarkStart w:id="345" w:name="_Toc26275"/>
      <w:bookmarkStart w:id="346" w:name="_Toc27028"/>
      <w:bookmarkStart w:id="347" w:name="_Toc5487"/>
      <w:bookmarkStart w:id="348" w:name="_Toc13753"/>
      <w:bookmarkStart w:id="349" w:name="_Toc6087"/>
      <w:bookmarkStart w:id="350" w:name="_Toc27394"/>
      <w:bookmarkStart w:id="351" w:name="_Toc30971"/>
      <w:r>
        <w:rPr>
          <w:rFonts w:hint="eastAsia" w:asciiTheme="minorEastAsia" w:hAnsiTheme="minorEastAsia" w:eastAsiaTheme="minorEastAsia"/>
          <w:sz w:val="24"/>
          <w:szCs w:val="24"/>
        </w:rPr>
        <w:t>2.1</w:t>
      </w:r>
      <w:bookmarkEnd w:id="297"/>
      <w:r>
        <w:rPr>
          <w:rFonts w:hint="eastAsia" w:asciiTheme="minorEastAsia" w:hAnsiTheme="minorEastAsia" w:eastAsiaTheme="minorEastAsia"/>
          <w:sz w:val="24"/>
          <w:szCs w:val="24"/>
        </w:rPr>
        <w:t>询比文件的组成</w:t>
      </w:r>
      <w:bookmarkEnd w:id="298"/>
      <w:bookmarkEnd w:id="299"/>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5F1FE84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2.1.1询比文件一般由以下部分组成：</w:t>
      </w:r>
    </w:p>
    <w:p w14:paraId="66200E91">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第一章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询比公告</w:t>
      </w:r>
      <w:r>
        <w:rPr>
          <w:rFonts w:cs="宋体" w:asciiTheme="minorEastAsia" w:hAnsiTheme="minorEastAsia" w:eastAsiaTheme="minorEastAsia"/>
          <w:szCs w:val="21"/>
        </w:rPr>
        <w:t>/</w:t>
      </w:r>
      <w:r>
        <w:rPr>
          <w:rFonts w:hint="eastAsia" w:cs="宋体" w:asciiTheme="minorEastAsia" w:hAnsiTheme="minorEastAsia" w:eastAsiaTheme="minorEastAsia"/>
          <w:szCs w:val="21"/>
        </w:rPr>
        <w:t>询比邀请书</w:t>
      </w:r>
    </w:p>
    <w:p w14:paraId="76DBB1C8">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第二章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供应商须知</w:t>
      </w:r>
    </w:p>
    <w:p w14:paraId="65402F14">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第三章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评审办法</w:t>
      </w:r>
    </w:p>
    <w:p w14:paraId="6A5B01FB">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第四章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商务规范书</w:t>
      </w:r>
    </w:p>
    <w:p w14:paraId="4067F3B8">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第五章 技术标准和要求/技术规范书/工作任务书</w:t>
      </w:r>
    </w:p>
    <w:p w14:paraId="6EFDA525">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第六章</w:t>
      </w:r>
      <w:r>
        <w:rPr>
          <w:rFonts w:cs="宋体" w:asciiTheme="minorEastAsia" w:hAnsiTheme="minorEastAsia" w:eastAsiaTheme="minorEastAsia"/>
          <w:szCs w:val="21"/>
        </w:rPr>
        <w:t xml:space="preserve"> </w:t>
      </w:r>
      <w:r>
        <w:rPr>
          <w:rFonts w:hint="eastAsia" w:cs="宋体" w:asciiTheme="minorEastAsia" w:hAnsiTheme="minorEastAsia" w:eastAsiaTheme="minorEastAsia"/>
          <w:szCs w:val="21"/>
        </w:rPr>
        <w:t>响应文件格式</w:t>
      </w:r>
    </w:p>
    <w:p w14:paraId="13B56B57">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第七章 其他</w:t>
      </w:r>
    </w:p>
    <w:p w14:paraId="31E3957D">
      <w:pPr>
        <w:adjustRightInd w:val="0"/>
        <w:snapToGrid w:val="0"/>
        <w:spacing w:line="440" w:lineRule="exact"/>
        <w:ind w:firstLine="424" w:firstLineChars="202"/>
        <w:rPr>
          <w:rFonts w:cs="宋体" w:asciiTheme="minorEastAsia" w:hAnsiTheme="minorEastAsia" w:eastAsiaTheme="minorEastAsia"/>
          <w:szCs w:val="21"/>
        </w:rPr>
      </w:pPr>
      <w:r>
        <w:rPr>
          <w:rFonts w:hint="eastAsia" w:cs="宋体" w:asciiTheme="minorEastAsia" w:hAnsiTheme="minorEastAsia" w:eastAsiaTheme="minorEastAsia"/>
          <w:szCs w:val="21"/>
        </w:rPr>
        <w:t>采购人</w:t>
      </w:r>
      <w:r>
        <w:rPr>
          <w:rFonts w:cs="宋体" w:asciiTheme="minorEastAsia" w:hAnsiTheme="minorEastAsia" w:eastAsiaTheme="minorEastAsia"/>
          <w:szCs w:val="21"/>
        </w:rPr>
        <w:t>另有规定的</w:t>
      </w:r>
      <w:r>
        <w:rPr>
          <w:rFonts w:hint="eastAsia" w:cs="宋体" w:asciiTheme="minorEastAsia" w:hAnsiTheme="minorEastAsia" w:eastAsiaTheme="minorEastAsia"/>
          <w:szCs w:val="21"/>
        </w:rPr>
        <w:t>，</w:t>
      </w:r>
      <w:r>
        <w:rPr>
          <w:rFonts w:cs="宋体" w:asciiTheme="minorEastAsia" w:hAnsiTheme="minorEastAsia" w:eastAsiaTheme="minorEastAsia"/>
          <w:szCs w:val="21"/>
        </w:rPr>
        <w:t>见</w:t>
      </w:r>
      <w:r>
        <w:rPr>
          <w:rFonts w:hint="eastAsia" w:cs="宋体" w:asciiTheme="minorEastAsia" w:hAnsiTheme="minorEastAsia" w:eastAsiaTheme="minorEastAsia"/>
          <w:szCs w:val="21"/>
        </w:rPr>
        <w:t>供应商</w:t>
      </w:r>
      <w:r>
        <w:rPr>
          <w:rFonts w:cs="宋体" w:asciiTheme="minorEastAsia" w:hAnsiTheme="minorEastAsia" w:eastAsiaTheme="minorEastAsia"/>
          <w:szCs w:val="21"/>
        </w:rPr>
        <w:t>须知前附表</w:t>
      </w:r>
      <w:r>
        <w:rPr>
          <w:rFonts w:hint="eastAsia" w:cs="宋体" w:asciiTheme="minorEastAsia" w:hAnsiTheme="minorEastAsia" w:eastAsiaTheme="minorEastAsia"/>
          <w:szCs w:val="21"/>
        </w:rPr>
        <w:t>。</w:t>
      </w:r>
    </w:p>
    <w:p w14:paraId="02EAAEA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2.1.2询比文件对同一内容的表述应当一致。第一章“询比公告”或者“询比邀请书”与询比文件在同一内容的表述上有矛盾或者冲突时，以第一章“询比公告”或者“询比邀请书”为准；供应商须知前附表与供应商须知正文在同一内容的表述上有矛盾或者冲突时，以供应商须知前附表为准。</w:t>
      </w:r>
    </w:p>
    <w:p w14:paraId="003C33F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2.1.3采购人在询比文件中以显著的方式标明实质性要求、条件以及不满足实质性要求和条件的响应将被否决的提示；对于非实质性要求和条件，规定允许偏差的最大范围、最高项数和调整偏差的方法。显著标识方式和具体要求见供应商须知前附表。</w:t>
      </w:r>
    </w:p>
    <w:p w14:paraId="20A31E2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2.1.4采购人可要求以某一单项报价核定是否低于成本，具体要求见供应商须知前附表。</w:t>
      </w:r>
    </w:p>
    <w:p w14:paraId="2CC93D5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52" w:name="_Toc15531"/>
      <w:bookmarkStart w:id="353" w:name="_Toc447188680"/>
      <w:bookmarkStart w:id="354" w:name="_Toc10948"/>
      <w:bookmarkStart w:id="355" w:name="_Toc29693"/>
      <w:bookmarkStart w:id="356" w:name="_Toc21061"/>
      <w:bookmarkStart w:id="357" w:name="_Toc21168"/>
      <w:bookmarkStart w:id="358" w:name="_Toc25007"/>
      <w:bookmarkStart w:id="359" w:name="_Toc32140"/>
      <w:bookmarkStart w:id="360" w:name="_Toc29318"/>
      <w:bookmarkStart w:id="361" w:name="_Toc27669"/>
      <w:bookmarkStart w:id="362" w:name="_Toc447265230"/>
      <w:bookmarkStart w:id="363" w:name="_Toc8639"/>
      <w:bookmarkStart w:id="364" w:name="_Toc447265516"/>
      <w:bookmarkStart w:id="365" w:name="_Toc1784"/>
      <w:bookmarkStart w:id="366" w:name="_Toc9979"/>
      <w:bookmarkStart w:id="367" w:name="_Toc9398"/>
      <w:bookmarkStart w:id="368" w:name="_Toc1868"/>
      <w:bookmarkStart w:id="369" w:name="_Toc22144"/>
      <w:bookmarkStart w:id="370" w:name="_Toc13603"/>
      <w:bookmarkStart w:id="371" w:name="_Toc226969287"/>
      <w:bookmarkStart w:id="372" w:name="_Toc107822490"/>
      <w:bookmarkStart w:id="373" w:name="_Toc227057893"/>
      <w:r>
        <w:rPr>
          <w:rFonts w:hint="eastAsia" w:asciiTheme="minorEastAsia" w:hAnsiTheme="minorEastAsia" w:eastAsiaTheme="minorEastAsia"/>
          <w:sz w:val="24"/>
          <w:szCs w:val="24"/>
        </w:rPr>
        <w:t>2.2踏勘现场</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3F44225B">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 xml:space="preserve">2.2.1供应商须知前附表规定组织踏勘现场的，采购人按照供应商须知前附表规定的时间、地点组织供应商踏勘项目现场。 </w:t>
      </w:r>
    </w:p>
    <w:p w14:paraId="33E6C36B">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2.2.2</w:t>
      </w:r>
      <w:r>
        <w:rPr>
          <w:rFonts w:hint="eastAsia" w:cs="宋体" w:asciiTheme="minorEastAsia" w:hAnsiTheme="minorEastAsia" w:eastAsiaTheme="minorEastAsia"/>
          <w:szCs w:val="21"/>
        </w:rPr>
        <w:t>潜在供应商踏勘现场发生的费用自理。</w:t>
      </w:r>
    </w:p>
    <w:p w14:paraId="36E3A8DA">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2.2.3</w:t>
      </w:r>
      <w:r>
        <w:rPr>
          <w:rFonts w:hint="eastAsia" w:cs="宋体" w:asciiTheme="minorEastAsia" w:hAnsiTheme="minorEastAsia" w:eastAsiaTheme="minorEastAsia"/>
          <w:szCs w:val="21"/>
        </w:rPr>
        <w:t>除采购人的原因外，潜在供应商自行负责在踏勘现场中所发生的人员伤亡和财产损失。</w:t>
      </w:r>
    </w:p>
    <w:p w14:paraId="56D189E3">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2.2.4</w:t>
      </w:r>
      <w:r>
        <w:rPr>
          <w:rFonts w:hint="eastAsia" w:cs="宋体" w:asciiTheme="minorEastAsia" w:hAnsiTheme="minorEastAsia" w:eastAsiaTheme="minorEastAsia"/>
          <w:szCs w:val="21"/>
        </w:rPr>
        <w:t>采购人在踏勘现场中介绍的项目现场和相关的周边环境情况，供潜在供应商在编制响应文件时参考，采购人不对供应商据此作出的判断和决策负责。</w:t>
      </w:r>
    </w:p>
    <w:p w14:paraId="3FA3A96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74" w:name="_Toc14724"/>
      <w:bookmarkStart w:id="375" w:name="_Toc23126"/>
      <w:bookmarkStart w:id="376" w:name="_Toc447265231"/>
      <w:bookmarkStart w:id="377" w:name="_Toc6559"/>
      <w:bookmarkStart w:id="378" w:name="_Toc447265517"/>
      <w:bookmarkStart w:id="379" w:name="_Toc18238"/>
      <w:bookmarkStart w:id="380" w:name="_Toc29059"/>
      <w:bookmarkStart w:id="381" w:name="_Toc447188681"/>
      <w:bookmarkStart w:id="382" w:name="_Toc15100"/>
      <w:bookmarkStart w:id="383" w:name="_Toc22148"/>
      <w:bookmarkStart w:id="384" w:name="_Toc5482"/>
      <w:bookmarkStart w:id="385" w:name="_Toc2516"/>
      <w:bookmarkStart w:id="386" w:name="_Toc12494"/>
      <w:bookmarkStart w:id="387" w:name="_Toc3130"/>
      <w:bookmarkStart w:id="388" w:name="_Toc12314"/>
      <w:bookmarkStart w:id="389" w:name="_Toc4933"/>
      <w:bookmarkStart w:id="390" w:name="_Toc1078"/>
      <w:bookmarkStart w:id="391" w:name="_Toc2462"/>
      <w:bookmarkStart w:id="392" w:name="_Toc950"/>
      <w:r>
        <w:rPr>
          <w:rFonts w:hint="eastAsia" w:asciiTheme="minorEastAsia" w:hAnsiTheme="minorEastAsia" w:eastAsiaTheme="minorEastAsia"/>
          <w:sz w:val="24"/>
          <w:szCs w:val="24"/>
        </w:rPr>
        <w:t>2.3预备会</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4A58E89">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供应商须知前附表规定召开预备会的，采购人按照供应商须知前附表规定的时间和地点召开，澄清潜在供应商提出的问题。</w:t>
      </w:r>
    </w:p>
    <w:p w14:paraId="5E59DC4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393" w:name="_Toc9075"/>
      <w:bookmarkStart w:id="394" w:name="_Toc22100"/>
      <w:bookmarkStart w:id="395" w:name="_Toc4047"/>
      <w:bookmarkStart w:id="396" w:name="_Toc15679"/>
      <w:bookmarkStart w:id="397" w:name="_Toc16110"/>
      <w:bookmarkStart w:id="398" w:name="_Toc29738"/>
      <w:bookmarkStart w:id="399" w:name="_Toc29474"/>
      <w:bookmarkStart w:id="400" w:name="_Toc6796"/>
      <w:bookmarkStart w:id="401" w:name="_Toc19657"/>
      <w:bookmarkStart w:id="402" w:name="_Toc21470"/>
      <w:bookmarkStart w:id="403" w:name="_Toc19486"/>
      <w:bookmarkStart w:id="404" w:name="_Toc447265518"/>
      <w:bookmarkStart w:id="405" w:name="_Toc447265232"/>
      <w:bookmarkStart w:id="406" w:name="_Toc17396"/>
      <w:bookmarkStart w:id="407" w:name="_Toc11228"/>
      <w:bookmarkStart w:id="408" w:name="_Toc13592"/>
      <w:bookmarkStart w:id="409" w:name="_Toc16244"/>
      <w:bookmarkStart w:id="410" w:name="_Toc22555"/>
      <w:bookmarkStart w:id="411" w:name="_Toc447188682"/>
      <w:r>
        <w:rPr>
          <w:rFonts w:hint="eastAsia" w:asciiTheme="minorEastAsia" w:hAnsiTheme="minorEastAsia" w:eastAsiaTheme="minorEastAsia"/>
          <w:sz w:val="24"/>
          <w:szCs w:val="24"/>
        </w:rPr>
        <w:t>2.4询比文件的澄清</w:t>
      </w:r>
      <w:bookmarkEnd w:id="371"/>
      <w:bookmarkEnd w:id="372"/>
      <w:bookmarkEnd w:id="373"/>
      <w:r>
        <w:rPr>
          <w:rFonts w:hint="eastAsia" w:asciiTheme="minorEastAsia" w:hAnsiTheme="minorEastAsia" w:eastAsiaTheme="minorEastAsia"/>
          <w:sz w:val="24"/>
          <w:szCs w:val="24"/>
        </w:rPr>
        <w:t>和修改</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14:paraId="3863BC8C">
      <w:pPr>
        <w:adjustRightInd w:val="0"/>
        <w:snapToGrid w:val="0"/>
        <w:spacing w:line="440" w:lineRule="exact"/>
        <w:ind w:firstLine="420" w:firstLineChars="200"/>
        <w:rPr>
          <w:rFonts w:cs="宋体" w:asciiTheme="minorEastAsia" w:hAnsiTheme="minorEastAsia" w:eastAsiaTheme="minorEastAsia"/>
          <w:szCs w:val="21"/>
        </w:rPr>
      </w:pPr>
      <w:bookmarkStart w:id="412" w:name="_Toc447265519"/>
      <w:bookmarkStart w:id="413" w:name="_Toc247085705"/>
      <w:bookmarkStart w:id="414" w:name="_Toc152045546"/>
      <w:bookmarkStart w:id="415" w:name="_Toc144974514"/>
      <w:bookmarkStart w:id="416" w:name="_Toc152042322"/>
      <w:bookmarkStart w:id="417" w:name="_Toc179632564"/>
      <w:bookmarkStart w:id="418" w:name="_Toc246996191"/>
      <w:bookmarkStart w:id="419" w:name="_Toc246996934"/>
      <w:bookmarkStart w:id="420" w:name="_Toc447188683"/>
      <w:bookmarkStart w:id="421" w:name="_Toc447265233"/>
      <w:bookmarkStart w:id="422" w:name="_Toc296602436"/>
      <w:bookmarkStart w:id="423" w:name="_Toc227057895"/>
      <w:bookmarkStart w:id="424" w:name="_Toc107822492"/>
      <w:bookmarkStart w:id="425" w:name="_Toc226969289"/>
      <w:r>
        <w:rPr>
          <w:rFonts w:hint="eastAsia" w:cs="宋体" w:asciiTheme="minorEastAsia" w:hAnsiTheme="minorEastAsia" w:eastAsiaTheme="minorEastAsia"/>
          <w:szCs w:val="21"/>
        </w:rPr>
        <w:t>2.4.1供应商对询比文件有疑问的，应当按照供应商须知前附表规定的时间和方式，要求采购人对询比文件进行澄清。</w:t>
      </w:r>
    </w:p>
    <w:p w14:paraId="65452844">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2.4.2</w:t>
      </w:r>
      <w:r>
        <w:rPr>
          <w:rFonts w:hint="eastAsia" w:cs="宋体" w:asciiTheme="minorEastAsia" w:hAnsiTheme="minorEastAsia" w:eastAsiaTheme="minorEastAsia"/>
          <w:szCs w:val="21"/>
        </w:rPr>
        <w:t>采购人应当将澄清或者修改内容发给所有获取询比文件的供应商，但不指明问题的来源。</w:t>
      </w:r>
    </w:p>
    <w:p w14:paraId="292697A4">
      <w:pPr>
        <w:adjustRightInd w:val="0"/>
        <w:snapToGrid w:val="0"/>
        <w:spacing w:line="440" w:lineRule="exact"/>
        <w:ind w:firstLine="420" w:firstLineChars="200"/>
        <w:rPr>
          <w:rFonts w:cs="宋体" w:asciiTheme="minorEastAsia" w:hAnsiTheme="minorEastAsia" w:eastAsiaTheme="minorEastAsia"/>
          <w:szCs w:val="21"/>
        </w:rPr>
      </w:pPr>
      <w:r>
        <w:rPr>
          <w:rFonts w:cs="宋体" w:asciiTheme="minorEastAsia" w:hAnsiTheme="minorEastAsia" w:eastAsiaTheme="minorEastAsia"/>
          <w:szCs w:val="21"/>
        </w:rPr>
        <w:t>2.4.3</w:t>
      </w:r>
      <w:r>
        <w:rPr>
          <w:rFonts w:hint="eastAsia" w:cs="宋体" w:asciiTheme="minorEastAsia" w:hAnsiTheme="minorEastAsia" w:eastAsiaTheme="minorEastAsia"/>
          <w:szCs w:val="21"/>
        </w:rPr>
        <w:t>如澄清或者修改的内容可能影响响应文件编制的，应当在提交响应文件截止时间至少2日前发出，不足2日的，采购人应当相应顺延响应截止时间。</w:t>
      </w:r>
    </w:p>
    <w:p w14:paraId="48942760">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2.4.4供应商收到澄清或者修改后，应当按照供应商须知前附表规定的时间和方式通知采购人，确认已收到该澄清或者修改。</w:t>
      </w:r>
    </w:p>
    <w:p w14:paraId="76B75B93">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2.4.5所有关于询比文件的澄清和修改均作为询比文件的补充部分。当询比文件、询比文件的澄清或者修改等在同一内容的表述上不一致时，以最后发出的书面文件为准。</w:t>
      </w:r>
    </w:p>
    <w:p w14:paraId="7340FE1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26" w:name="_Toc17509"/>
      <w:bookmarkStart w:id="427" w:name="_Toc31595"/>
      <w:bookmarkStart w:id="428" w:name="_Toc14853"/>
      <w:bookmarkStart w:id="429" w:name="_Toc22786"/>
      <w:bookmarkStart w:id="430" w:name="_Toc6727"/>
      <w:bookmarkStart w:id="431" w:name="_Toc29697"/>
      <w:bookmarkStart w:id="432" w:name="_Toc15767"/>
      <w:bookmarkStart w:id="433" w:name="_Toc13354"/>
      <w:bookmarkStart w:id="434" w:name="_Toc29354"/>
      <w:bookmarkStart w:id="435" w:name="_Toc31906"/>
      <w:bookmarkStart w:id="436" w:name="_Toc19366"/>
      <w:bookmarkStart w:id="437" w:name="_Toc21296"/>
      <w:bookmarkStart w:id="438" w:name="_Toc12265"/>
      <w:bookmarkStart w:id="439" w:name="_Toc10520"/>
      <w:bookmarkStart w:id="440" w:name="_Toc1656"/>
      <w:bookmarkStart w:id="441" w:name="_Toc16259"/>
      <w:r>
        <w:rPr>
          <w:rFonts w:hint="eastAsia" w:asciiTheme="minorEastAsia" w:hAnsiTheme="minorEastAsia" w:eastAsiaTheme="minorEastAsia"/>
          <w:sz w:val="24"/>
          <w:szCs w:val="24"/>
        </w:rPr>
        <w:t>2.5 询比文件的异议</w:t>
      </w:r>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p>
    <w:p w14:paraId="1F611446">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潜在供应商或者其他利害关系人对询比文件有异议的，应当在提交响应文件截止时间1日前以书面形式提出。采购人应当自收到异议之日起3日内作出答复；作出答复前，应当暂停询比活动。已作出明确答复，且无新的事实证据，就同一事项反复提出异议的，不予受理。</w:t>
      </w:r>
    </w:p>
    <w:bookmarkEnd w:id="412"/>
    <w:bookmarkEnd w:id="413"/>
    <w:bookmarkEnd w:id="414"/>
    <w:bookmarkEnd w:id="415"/>
    <w:bookmarkEnd w:id="416"/>
    <w:bookmarkEnd w:id="417"/>
    <w:bookmarkEnd w:id="418"/>
    <w:bookmarkEnd w:id="419"/>
    <w:bookmarkEnd w:id="420"/>
    <w:bookmarkEnd w:id="421"/>
    <w:bookmarkEnd w:id="422"/>
    <w:p w14:paraId="1F653232">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442" w:name="_Toc13504"/>
      <w:bookmarkStart w:id="443" w:name="_Toc15151"/>
      <w:bookmarkStart w:id="444" w:name="_Toc20360"/>
      <w:bookmarkStart w:id="445" w:name="_Toc1780"/>
      <w:bookmarkStart w:id="446" w:name="_Toc5691"/>
      <w:bookmarkStart w:id="447" w:name="_Toc27959"/>
      <w:bookmarkStart w:id="448" w:name="_Toc7574"/>
      <w:bookmarkStart w:id="449" w:name="_Toc29288"/>
      <w:bookmarkStart w:id="450" w:name="_Toc31232"/>
      <w:bookmarkStart w:id="451" w:name="_Toc15104"/>
      <w:bookmarkStart w:id="452" w:name="_Toc25885"/>
      <w:bookmarkStart w:id="453" w:name="_Toc18298"/>
      <w:bookmarkStart w:id="454" w:name="_Toc32004"/>
      <w:bookmarkStart w:id="455" w:name="_Toc24909"/>
      <w:bookmarkStart w:id="456" w:name="_Toc323"/>
      <w:r>
        <w:rPr>
          <w:rFonts w:hint="eastAsia" w:asciiTheme="minorEastAsia" w:hAnsiTheme="minorEastAsia" w:eastAsiaTheme="minorEastAsia"/>
          <w:sz w:val="28"/>
          <w:szCs w:val="28"/>
        </w:rPr>
        <w:t>响应文件</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bookmarkEnd w:id="423"/>
    <w:bookmarkEnd w:id="424"/>
    <w:bookmarkEnd w:id="425"/>
    <w:p w14:paraId="08437079">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57" w:name="_Toc107822493"/>
      <w:bookmarkStart w:id="458" w:name="_Toc226969290"/>
      <w:bookmarkStart w:id="459" w:name="_Toc227057896"/>
      <w:bookmarkStart w:id="460" w:name="_Toc5451"/>
      <w:bookmarkStart w:id="461" w:name="_Toc31560"/>
      <w:bookmarkStart w:id="462" w:name="_Toc27208"/>
      <w:bookmarkStart w:id="463" w:name="_Toc447265520"/>
      <w:bookmarkStart w:id="464" w:name="_Toc30799"/>
      <w:bookmarkStart w:id="465" w:name="_Toc450489293"/>
      <w:bookmarkStart w:id="466" w:name="_Toc11772"/>
      <w:bookmarkStart w:id="467" w:name="_Toc10971"/>
      <w:bookmarkStart w:id="468" w:name="_Toc447265234"/>
      <w:bookmarkStart w:id="469" w:name="_Toc31006"/>
      <w:bookmarkStart w:id="470" w:name="_Toc9159"/>
      <w:bookmarkStart w:id="471" w:name="_Toc447188684"/>
      <w:bookmarkStart w:id="472" w:name="_Toc13318"/>
      <w:bookmarkStart w:id="473" w:name="_Toc17439"/>
      <w:bookmarkStart w:id="474" w:name="_Toc5516"/>
      <w:bookmarkStart w:id="475" w:name="_Toc21864"/>
      <w:bookmarkStart w:id="476" w:name="_Toc31597"/>
      <w:bookmarkStart w:id="477" w:name="_Toc4974"/>
      <w:bookmarkStart w:id="478" w:name="_Toc18801"/>
      <w:bookmarkStart w:id="479" w:name="_Toc29664"/>
      <w:bookmarkStart w:id="480" w:name="_Toc184635074"/>
      <w:bookmarkStart w:id="481" w:name="_Toc447265242"/>
      <w:bookmarkStart w:id="482" w:name="_Toc447265528"/>
      <w:bookmarkStart w:id="483" w:name="_Toc488655848"/>
      <w:bookmarkStart w:id="484" w:name="_Toc107822503"/>
      <w:bookmarkStart w:id="485" w:name="_Toc227057906"/>
      <w:bookmarkStart w:id="486" w:name="_Toc226969300"/>
      <w:r>
        <w:rPr>
          <w:rFonts w:hint="eastAsia" w:asciiTheme="minorEastAsia" w:hAnsiTheme="minorEastAsia" w:eastAsiaTheme="minorEastAsia"/>
          <w:sz w:val="24"/>
          <w:szCs w:val="24"/>
        </w:rPr>
        <w:t>3.1响应文件的</w:t>
      </w:r>
      <w:bookmarkEnd w:id="457"/>
      <w:bookmarkEnd w:id="458"/>
      <w:bookmarkEnd w:id="459"/>
      <w:r>
        <w:rPr>
          <w:rFonts w:hint="eastAsia" w:asciiTheme="minorEastAsia" w:hAnsiTheme="minorEastAsia" w:eastAsiaTheme="minorEastAsia"/>
          <w:sz w:val="24"/>
          <w:szCs w:val="24"/>
        </w:rPr>
        <w:t>组成</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14:paraId="1E3E904D">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供应商应当按照供应商须知前附表的要求制作并提交响应文件。响应文件组成见供应商须知前附表。</w:t>
      </w:r>
    </w:p>
    <w:p w14:paraId="6132923E">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487" w:name="_Toc27274"/>
      <w:bookmarkStart w:id="488" w:name="_Toc12883"/>
      <w:bookmarkStart w:id="489" w:name="_Toc8764"/>
      <w:bookmarkStart w:id="490" w:name="_Toc447188685"/>
      <w:bookmarkStart w:id="491" w:name="_Toc15470"/>
      <w:bookmarkStart w:id="492" w:name="_Toc27345"/>
      <w:bookmarkStart w:id="493" w:name="_Toc31279"/>
      <w:bookmarkStart w:id="494" w:name="_Toc447265235"/>
      <w:bookmarkStart w:id="495" w:name="_Toc447265521"/>
      <w:bookmarkStart w:id="496" w:name="_Toc450489294"/>
      <w:bookmarkStart w:id="497" w:name="_Toc28462"/>
      <w:bookmarkStart w:id="498" w:name="_Toc3904"/>
      <w:bookmarkStart w:id="499" w:name="_Toc10104"/>
      <w:bookmarkStart w:id="500" w:name="_Toc8298"/>
      <w:bookmarkStart w:id="501" w:name="_Toc17371"/>
      <w:bookmarkStart w:id="502" w:name="_Toc23809"/>
      <w:bookmarkStart w:id="503" w:name="_Toc26463"/>
      <w:bookmarkStart w:id="504" w:name="_Toc32667"/>
      <w:bookmarkStart w:id="505" w:name="_Toc23258"/>
      <w:bookmarkStart w:id="506" w:name="_Toc25034"/>
      <w:r>
        <w:rPr>
          <w:rFonts w:hint="eastAsia" w:asciiTheme="minorEastAsia" w:hAnsiTheme="minorEastAsia" w:eastAsiaTheme="minorEastAsia"/>
          <w:sz w:val="24"/>
          <w:szCs w:val="24"/>
        </w:rPr>
        <w:t>3.2响应文件的编制</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p>
    <w:p w14:paraId="6C213E2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3.2.1供应商应当按照询比文件的要求编制响应文件，响应文件应当对询比文件提出的实质性要求和条件作出响应。</w:t>
      </w:r>
    </w:p>
    <w:p w14:paraId="525AFC2B">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3.2.2</w:t>
      </w:r>
      <w:r>
        <w:rPr>
          <w:rFonts w:hint="eastAsia" w:asciiTheme="minorEastAsia" w:hAnsiTheme="minorEastAsia" w:eastAsiaTheme="minorEastAsia"/>
        </w:rPr>
        <w:t>供应商应当认真阅读询比文件中所有的事项、格式、条款和技术规范等。供应商没有按照询比文件要求提交全部资料或者供应商没有对询比文件在各方面都作出实质性响应是供应商的风险，并可能导致其响应被否决。响应文件响应和编写的具体要求见供应商须知前附表。</w:t>
      </w:r>
    </w:p>
    <w:p w14:paraId="0788E3E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3.2.3供应商提交的响应文件以及供应商与采购人就有关响应的所有往来函电均应当使用中文。供应商提交的证明文件和文献可以使用另一种语言，但相应内容应当译成中文，在解释响应文件时以中文译本为准。</w:t>
      </w:r>
    </w:p>
    <w:p w14:paraId="299BC613">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3.2.4纸质响应文件应当使用不褪色的材料书写或者打印，并加盖单位公章或者由供应商的法定代表人或者其委托代理人签字。委托代理人签字的，响应文件应当附法定代表人签署的授权委托书。响应文件应当尽量避免涂改、行间插字或者删除。如果出现上述情况，改动之处应当加盖单位公章或者由供应商的法定代表人或者其委托代理人签字确认。盖章或者签字另有要求的，见供应商须知前附表。</w:t>
      </w:r>
    </w:p>
    <w:p w14:paraId="580A805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3.2.5电子响应文件的编制要求见供应商须知前附表。</w:t>
      </w:r>
    </w:p>
    <w:p w14:paraId="25EBA29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07" w:name="_Toc226969292"/>
      <w:bookmarkStart w:id="508" w:name="_Toc1558"/>
      <w:bookmarkStart w:id="509" w:name="_Toc24827"/>
      <w:bookmarkStart w:id="510" w:name="_Toc32298"/>
      <w:bookmarkStart w:id="511" w:name="_Toc23372"/>
      <w:bookmarkStart w:id="512" w:name="_Toc773"/>
      <w:bookmarkStart w:id="513" w:name="_Toc43"/>
      <w:bookmarkStart w:id="514" w:name="_Toc14740"/>
      <w:bookmarkStart w:id="515" w:name="_Toc12869"/>
      <w:bookmarkStart w:id="516" w:name="_Toc32601"/>
      <w:bookmarkStart w:id="517" w:name="_Toc8199"/>
      <w:bookmarkStart w:id="518" w:name="_Toc447188686"/>
      <w:bookmarkStart w:id="519" w:name="_Toc29209"/>
      <w:bookmarkStart w:id="520" w:name="_Toc447265236"/>
      <w:bookmarkStart w:id="521" w:name="_Toc450489295"/>
      <w:bookmarkStart w:id="522" w:name="_Toc29494"/>
      <w:bookmarkStart w:id="523" w:name="_Toc107822495"/>
      <w:bookmarkStart w:id="524" w:name="_Toc227057898"/>
      <w:bookmarkStart w:id="525" w:name="_Toc25392"/>
      <w:bookmarkStart w:id="526" w:name="_Toc447265522"/>
      <w:bookmarkStart w:id="527" w:name="_Toc28853"/>
      <w:bookmarkStart w:id="528" w:name="_Toc946"/>
      <w:bookmarkStart w:id="529" w:name="_Toc24856"/>
      <w:r>
        <w:rPr>
          <w:rFonts w:hint="eastAsia" w:asciiTheme="minorEastAsia" w:hAnsiTheme="minorEastAsia" w:eastAsiaTheme="minorEastAsia"/>
          <w:sz w:val="24"/>
          <w:szCs w:val="24"/>
        </w:rPr>
        <w:t>3.3响应报价</w:t>
      </w:r>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5BC8574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3.3.1供应商应当根据询比文件要求进行报价，供应商应当报出符合询比文件要求的拟提供响应货物的单价（如适用）和总价。</w:t>
      </w:r>
    </w:p>
    <w:p w14:paraId="2FC977B8">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3.3.2</w:t>
      </w:r>
      <w:r>
        <w:rPr>
          <w:rFonts w:hint="eastAsia" w:asciiTheme="minorEastAsia" w:hAnsiTheme="minorEastAsia" w:eastAsiaTheme="minorEastAsia"/>
        </w:rPr>
        <w:t>响应货币：人民币。</w:t>
      </w:r>
    </w:p>
    <w:p w14:paraId="5F028C6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3.3.3采购人设有最高响应限价的，供应商的响应报价不得超过最高响应限价，否则其响应将被否决。最高响应限价或者其计算方法见供应商须知前附表。</w:t>
      </w:r>
    </w:p>
    <w:p w14:paraId="7FD1655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3.3.4采购人不接受供应商的任何低于成本报价的不正当竞争方式。</w:t>
      </w:r>
    </w:p>
    <w:p w14:paraId="1F28D81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3.3.5只有在询比文件要求或者允许报优惠价时，供应商才可以报出。供应商优惠报价的数额，响应文件开启时也必须当众公布。关于优惠条件的规定见供应商须知前附表。</w:t>
      </w:r>
    </w:p>
    <w:p w14:paraId="7CF6304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3.3.6响应报价的具体要求见供应商须知前附表。</w:t>
      </w:r>
    </w:p>
    <w:p w14:paraId="0BA74321">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30" w:name="_Toc107822500"/>
      <w:bookmarkStart w:id="531" w:name="_Toc447265523"/>
      <w:bookmarkStart w:id="532" w:name="_Toc447265237"/>
      <w:bookmarkStart w:id="533" w:name="_Toc447188687"/>
      <w:bookmarkStart w:id="534" w:name="_Toc226969296"/>
      <w:bookmarkStart w:id="535" w:name="_Toc450489296"/>
      <w:bookmarkStart w:id="536" w:name="_Toc227057902"/>
      <w:bookmarkStart w:id="537" w:name="_Toc31915"/>
      <w:bookmarkStart w:id="538" w:name="_Toc22350"/>
      <w:bookmarkStart w:id="539" w:name="_Toc21963"/>
      <w:bookmarkStart w:id="540" w:name="_Toc15549"/>
      <w:bookmarkStart w:id="541" w:name="_Toc15479"/>
      <w:bookmarkStart w:id="542" w:name="_Toc27097"/>
      <w:bookmarkStart w:id="543" w:name="_Toc13568"/>
      <w:bookmarkStart w:id="544" w:name="_Toc9358"/>
      <w:bookmarkStart w:id="545" w:name="_Toc17889"/>
      <w:bookmarkStart w:id="546" w:name="_Toc22151"/>
      <w:bookmarkStart w:id="547" w:name="_Toc21002"/>
      <w:bookmarkStart w:id="548" w:name="_Toc31689"/>
      <w:bookmarkStart w:id="549" w:name="_Toc22845"/>
      <w:bookmarkStart w:id="550" w:name="_Toc12951"/>
      <w:bookmarkStart w:id="551" w:name="_Toc24181"/>
      <w:bookmarkStart w:id="552" w:name="_Toc14176"/>
      <w:bookmarkStart w:id="553" w:name="_Toc107822499"/>
      <w:bookmarkStart w:id="554" w:name="_Toc227057901"/>
      <w:bookmarkStart w:id="555" w:name="_Toc226969295"/>
      <w:r>
        <w:rPr>
          <w:rFonts w:hint="eastAsia" w:asciiTheme="minorEastAsia" w:hAnsiTheme="minorEastAsia" w:eastAsiaTheme="minorEastAsia"/>
          <w:sz w:val="24"/>
          <w:szCs w:val="24"/>
        </w:rPr>
        <w:t>3.4</w:t>
      </w:r>
      <w:bookmarkEnd w:id="530"/>
      <w:bookmarkEnd w:id="531"/>
      <w:bookmarkEnd w:id="532"/>
      <w:bookmarkEnd w:id="533"/>
      <w:bookmarkEnd w:id="534"/>
      <w:bookmarkEnd w:id="535"/>
      <w:bookmarkEnd w:id="536"/>
      <w:bookmarkEnd w:id="537"/>
      <w:r>
        <w:rPr>
          <w:rFonts w:hint="eastAsia" w:asciiTheme="minorEastAsia" w:hAnsiTheme="minorEastAsia" w:eastAsiaTheme="minorEastAsia"/>
          <w:sz w:val="24"/>
          <w:szCs w:val="24"/>
        </w:rPr>
        <w:t>响应有效期</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2AC6FDF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3.4.1响应有效期从提交响应文件截止日起计算。响应有效期的具体时间见供应商须知前附表。在此期间，供应商不得要求撤销或者修改其响应文件。响应有效期不满足询比文件要求的响应将被否决。</w:t>
      </w:r>
    </w:p>
    <w:p w14:paraId="2F09B05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3.4.2</w:t>
      </w:r>
      <w:r>
        <w:rPr>
          <w:rFonts w:hint="eastAsia" w:asciiTheme="minorEastAsia" w:hAnsiTheme="minorEastAsia" w:eastAsiaTheme="minorEastAsia"/>
        </w:rPr>
        <w:t>在原定响应有效期满之前，如果出现特殊情况，采购人决定延长响应有效期的，应当以书面形式向供应商提出延长响应有效期的要求，供应商须以书面形式予以答复。供应商同意延长响应有效期的，不得修改其响应文件的实质性内容，但应当相应延长其响应保证金有效期；供应商拒绝延长响应有效期的，其响应失效，供应商有权收回其响应保证金。</w:t>
      </w:r>
    </w:p>
    <w:p w14:paraId="21BDE71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56" w:name="_Toc450489297"/>
      <w:bookmarkStart w:id="557" w:name="_Toc447265238"/>
      <w:bookmarkStart w:id="558" w:name="_Toc19693"/>
      <w:bookmarkStart w:id="559" w:name="_Toc447188688"/>
      <w:bookmarkStart w:id="560" w:name="_Toc447265524"/>
      <w:bookmarkStart w:id="561" w:name="_Toc9230"/>
      <w:bookmarkStart w:id="562" w:name="_Toc21859"/>
      <w:bookmarkStart w:id="563" w:name="_Toc14864"/>
      <w:bookmarkStart w:id="564" w:name="_Toc17557"/>
      <w:bookmarkStart w:id="565" w:name="_Toc25378"/>
      <w:bookmarkStart w:id="566" w:name="_Toc11177"/>
      <w:bookmarkStart w:id="567" w:name="_Toc6887"/>
      <w:bookmarkStart w:id="568" w:name="_Toc16248"/>
      <w:bookmarkStart w:id="569" w:name="_Toc8572"/>
      <w:bookmarkStart w:id="570" w:name="_Toc3176"/>
      <w:bookmarkStart w:id="571" w:name="_Toc353"/>
      <w:bookmarkStart w:id="572" w:name="_Toc10899"/>
      <w:bookmarkStart w:id="573" w:name="_Toc26079"/>
      <w:bookmarkStart w:id="574" w:name="_Toc21984"/>
      <w:bookmarkStart w:id="575" w:name="_Toc3632"/>
      <w:r>
        <w:rPr>
          <w:rFonts w:hint="eastAsia" w:asciiTheme="minorEastAsia" w:hAnsiTheme="minorEastAsia" w:eastAsiaTheme="minorEastAsia"/>
          <w:sz w:val="24"/>
          <w:szCs w:val="24"/>
        </w:rPr>
        <w:t>3.5</w:t>
      </w:r>
      <w:bookmarkEnd w:id="553"/>
      <w:bookmarkEnd w:id="554"/>
      <w:bookmarkEnd w:id="555"/>
      <w:bookmarkEnd w:id="556"/>
      <w:bookmarkEnd w:id="557"/>
      <w:bookmarkEnd w:id="558"/>
      <w:bookmarkEnd w:id="559"/>
      <w:bookmarkEnd w:id="560"/>
      <w:r>
        <w:rPr>
          <w:rFonts w:hint="eastAsia" w:asciiTheme="minorEastAsia" w:hAnsiTheme="minorEastAsia" w:eastAsiaTheme="minorEastAsia"/>
          <w:sz w:val="24"/>
          <w:szCs w:val="24"/>
        </w:rPr>
        <w:t>响应保证金</w:t>
      </w:r>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p>
    <w:p w14:paraId="0D5865F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3.5.1采购人要求供应商递交响应保证金的，供应商必须在提交响应文件的同时，按照供应商须知前附表的规定递交响应保证金。响应保证金一般不超过项目估算价的2%，本询比项目的响应保证金金额见供应商须知前附表。</w:t>
      </w:r>
    </w:p>
    <w:p w14:paraId="134D203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3.5.2采购人可以规定响应保证金是以现金、支票、银行汇票、在中国注册的银行出具的银行保函等方式递交，响应保证金有效期应当与响应有效期一致。响应保证金的形式见供应商须知前附表。</w:t>
      </w:r>
    </w:p>
    <w:p w14:paraId="10DA4D4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3.5.3采购人最迟应当在书面合同签订后5日内向成交供应商和未成交的供应商退还响应保证金及银行同期存款利息。</w:t>
      </w:r>
    </w:p>
    <w:p w14:paraId="21D462F5">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3.5.4</w:t>
      </w:r>
      <w:r>
        <w:rPr>
          <w:rFonts w:hint="eastAsia" w:asciiTheme="minorEastAsia" w:hAnsiTheme="minorEastAsia" w:eastAsiaTheme="minorEastAsia"/>
        </w:rPr>
        <w:t>下列任何情况发生时，响应保证金可不予退还：</w:t>
      </w:r>
    </w:p>
    <w:p w14:paraId="6BE51EA1">
      <w:pPr>
        <w:tabs>
          <w:tab w:val="left" w:pos="630"/>
        </w:tabs>
        <w:spacing w:line="400" w:lineRule="exact"/>
        <w:ind w:firstLine="420" w:firstLineChars="200"/>
        <w:rPr>
          <w:rFonts w:asciiTheme="minorEastAsia" w:hAnsiTheme="minorEastAsia" w:eastAsiaTheme="minorEastAsia"/>
        </w:rPr>
      </w:pPr>
      <w:r>
        <w:rPr>
          <w:rFonts w:hint="eastAsia" w:asciiTheme="minorEastAsia" w:hAnsiTheme="minorEastAsia" w:eastAsiaTheme="minorEastAsia"/>
        </w:rPr>
        <w:t>（1）供应商</w:t>
      </w:r>
      <w:r>
        <w:rPr>
          <w:rFonts w:asciiTheme="minorEastAsia" w:hAnsiTheme="minorEastAsia" w:eastAsiaTheme="minorEastAsia"/>
        </w:rPr>
        <w:t>在</w:t>
      </w:r>
      <w:r>
        <w:rPr>
          <w:rFonts w:hint="eastAsia" w:asciiTheme="minorEastAsia" w:hAnsiTheme="minorEastAsia" w:eastAsiaTheme="minorEastAsia"/>
        </w:rPr>
        <w:t>询比文件</w:t>
      </w:r>
      <w:r>
        <w:rPr>
          <w:rFonts w:asciiTheme="minorEastAsia" w:hAnsiTheme="minorEastAsia" w:eastAsiaTheme="minorEastAsia"/>
        </w:rPr>
        <w:t>中规定的</w:t>
      </w:r>
      <w:r>
        <w:rPr>
          <w:rFonts w:hint="eastAsia" w:asciiTheme="minorEastAsia" w:hAnsiTheme="minorEastAsia" w:eastAsiaTheme="minorEastAsia"/>
        </w:rPr>
        <w:t>响应有效期</w:t>
      </w:r>
      <w:r>
        <w:rPr>
          <w:rFonts w:asciiTheme="minorEastAsia" w:hAnsiTheme="minorEastAsia" w:eastAsiaTheme="minorEastAsia"/>
        </w:rPr>
        <w:t>内</w:t>
      </w:r>
      <w:r>
        <w:rPr>
          <w:rFonts w:hint="eastAsia" w:asciiTheme="minorEastAsia" w:hAnsiTheme="minorEastAsia" w:eastAsiaTheme="minorEastAsia"/>
        </w:rPr>
        <w:t>撤销响应的；</w:t>
      </w:r>
    </w:p>
    <w:p w14:paraId="4FD4E738">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（2）成交供应商无正当理由不与采购人订立合同，在签订合同时向采购人提出附加条件，或者不按照询比文件要求递交履约保证金的；</w:t>
      </w:r>
    </w:p>
    <w:p w14:paraId="35B73C5E">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（3）供应商</w:t>
      </w:r>
      <w:r>
        <w:rPr>
          <w:rFonts w:asciiTheme="minorEastAsia" w:hAnsiTheme="minorEastAsia" w:eastAsiaTheme="minorEastAsia"/>
        </w:rPr>
        <w:t>有串通</w:t>
      </w:r>
      <w:r>
        <w:rPr>
          <w:rFonts w:hint="eastAsia" w:asciiTheme="minorEastAsia" w:hAnsiTheme="minorEastAsia" w:eastAsiaTheme="minorEastAsia"/>
        </w:rPr>
        <w:t>响应</w:t>
      </w:r>
      <w:r>
        <w:rPr>
          <w:rFonts w:asciiTheme="minorEastAsia" w:hAnsiTheme="minorEastAsia" w:eastAsiaTheme="minorEastAsia"/>
        </w:rPr>
        <w:t>、弄虚作假等行为的；</w:t>
      </w:r>
    </w:p>
    <w:p w14:paraId="5193A0A3">
      <w:pPr>
        <w:pStyle w:val="48"/>
        <w:tabs>
          <w:tab w:val="left" w:pos="630"/>
        </w:tabs>
        <w:spacing w:line="400" w:lineRule="exact"/>
        <w:ind w:left="424" w:firstLine="0" w:firstLineChars="0"/>
        <w:rPr>
          <w:rFonts w:asciiTheme="minorEastAsia" w:hAnsiTheme="minorEastAsia" w:eastAsiaTheme="minorEastAsia"/>
        </w:rPr>
      </w:pPr>
      <w:r>
        <w:rPr>
          <w:rFonts w:hint="eastAsia" w:asciiTheme="minorEastAsia" w:hAnsiTheme="minorEastAsia" w:eastAsiaTheme="minorEastAsia"/>
        </w:rPr>
        <w:t>（4）</w:t>
      </w:r>
      <w:r>
        <w:rPr>
          <w:rFonts w:asciiTheme="minorEastAsia" w:hAnsiTheme="minorEastAsia" w:eastAsiaTheme="minorEastAsia"/>
        </w:rPr>
        <w:t>其他规定</w:t>
      </w:r>
      <w:r>
        <w:rPr>
          <w:rFonts w:hint="eastAsia" w:asciiTheme="minorEastAsia" w:hAnsiTheme="minorEastAsia" w:eastAsiaTheme="minorEastAsia"/>
        </w:rPr>
        <w:t>见供应商须知前附表</w:t>
      </w:r>
      <w:r>
        <w:rPr>
          <w:rFonts w:asciiTheme="minorEastAsia" w:hAnsiTheme="minorEastAsia" w:eastAsiaTheme="minorEastAsia"/>
        </w:rPr>
        <w:t>。</w:t>
      </w:r>
    </w:p>
    <w:p w14:paraId="278679C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3.5.5未递交响应保证金或者递交的响应保证金有瑕疵的响应将被否决。</w:t>
      </w:r>
    </w:p>
    <w:p w14:paraId="6CFAF56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76" w:name="_Toc30794"/>
      <w:bookmarkStart w:id="577" w:name="_Toc450489298"/>
      <w:bookmarkStart w:id="578" w:name="_Toc31558"/>
      <w:bookmarkStart w:id="579" w:name="_Toc20064"/>
      <w:bookmarkStart w:id="580" w:name="_Toc32113"/>
      <w:bookmarkStart w:id="581" w:name="_Toc18188"/>
      <w:bookmarkStart w:id="582" w:name="_Toc28573"/>
      <w:bookmarkStart w:id="583" w:name="_Toc17425"/>
      <w:bookmarkStart w:id="584" w:name="_Toc447188689"/>
      <w:bookmarkStart w:id="585" w:name="_Toc447265239"/>
      <w:bookmarkStart w:id="586" w:name="_Toc11242"/>
      <w:bookmarkStart w:id="587" w:name="_Toc10310"/>
      <w:bookmarkStart w:id="588" w:name="_Toc20819"/>
      <w:bookmarkStart w:id="589" w:name="_Toc10247"/>
      <w:bookmarkStart w:id="590" w:name="_Toc8068"/>
      <w:bookmarkStart w:id="591" w:name="_Toc16311"/>
      <w:bookmarkStart w:id="592" w:name="_Toc7918"/>
      <w:bookmarkStart w:id="593" w:name="_Toc447265525"/>
      <w:bookmarkStart w:id="594" w:name="_Toc27764"/>
      <w:bookmarkStart w:id="595" w:name="_Toc226969297"/>
      <w:bookmarkStart w:id="596" w:name="_Toc18121"/>
      <w:bookmarkStart w:id="597" w:name="_Toc227057903"/>
      <w:bookmarkStart w:id="598" w:name="_Toc107822501"/>
      <w:r>
        <w:rPr>
          <w:rFonts w:hint="eastAsia" w:asciiTheme="minorEastAsia" w:hAnsiTheme="minorEastAsia" w:eastAsiaTheme="minorEastAsia"/>
          <w:sz w:val="24"/>
          <w:szCs w:val="24"/>
        </w:rPr>
        <w:t>3.6备选响应方案</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14:paraId="72A6358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3.6.1除供应商须知前附表另有规定外，供应商不得提交备选响应方案。</w:t>
      </w:r>
    </w:p>
    <w:p w14:paraId="6D6081A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3.6.2</w:t>
      </w:r>
      <w:r>
        <w:rPr>
          <w:rFonts w:hint="eastAsia" w:asciiTheme="minorEastAsia" w:hAnsiTheme="minorEastAsia" w:eastAsiaTheme="minorEastAsia"/>
        </w:rPr>
        <w:t>若采购人在询比文件中邀请供应商提交备选方案，则供应商除按照询比文件规定的基本方案编制和提交响应文件外，可以附加提交备选响应方案。</w:t>
      </w:r>
    </w:p>
    <w:p w14:paraId="2A5A455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3.6.3</w:t>
      </w:r>
      <w:r>
        <w:rPr>
          <w:rFonts w:hint="eastAsia" w:asciiTheme="minorEastAsia" w:hAnsiTheme="minorEastAsia" w:eastAsiaTheme="minorEastAsia"/>
        </w:rPr>
        <w:t>备选响应方案应当说明其对基本方案的改进意见和带来的效益，并附必要的图纸、设计计算、技术要求及其它有关资料，在封面上应当注明“备选响应方案”字样。</w:t>
      </w:r>
    </w:p>
    <w:p w14:paraId="6422456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3.6.4允许供应商提交备选响应方案的，只有符合询比文件要求且综合评分最高而被推荐为成交候选人的供应商所提交的备选响应方案，可予以考虑。评审委员会认为其备选响应方案优于其按照询比文件要求编制的响应方案的，采购人可以接受该备选响应方案。</w:t>
      </w:r>
    </w:p>
    <w:p w14:paraId="11CDB93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599" w:name="_Toc226969298"/>
      <w:bookmarkStart w:id="600" w:name="_Toc227057904"/>
      <w:bookmarkStart w:id="601" w:name="_Toc447265240"/>
      <w:bookmarkStart w:id="602" w:name="_Toc450489299"/>
      <w:bookmarkStart w:id="603" w:name="_Toc447265526"/>
      <w:bookmarkStart w:id="604" w:name="_Toc447188690"/>
      <w:bookmarkStart w:id="605" w:name="_Toc17730"/>
      <w:bookmarkStart w:id="606" w:name="_Toc23682"/>
      <w:bookmarkStart w:id="607" w:name="_Toc8654"/>
      <w:bookmarkStart w:id="608" w:name="_Toc27515"/>
      <w:bookmarkStart w:id="609" w:name="_Toc1518"/>
      <w:bookmarkStart w:id="610" w:name="_Toc26475"/>
      <w:bookmarkStart w:id="611" w:name="_Toc3919"/>
      <w:bookmarkStart w:id="612" w:name="_Toc815"/>
      <w:bookmarkStart w:id="613" w:name="_Toc13814"/>
      <w:bookmarkStart w:id="614" w:name="_Toc26773"/>
      <w:bookmarkStart w:id="615" w:name="_Toc25632"/>
      <w:bookmarkStart w:id="616" w:name="_Toc5001"/>
      <w:bookmarkStart w:id="617" w:name="_Toc14141"/>
      <w:bookmarkStart w:id="618" w:name="_Toc24731"/>
      <w:bookmarkStart w:id="619" w:name="_Toc9565"/>
      <w:bookmarkStart w:id="620" w:name="_Toc5491"/>
      <w:r>
        <w:rPr>
          <w:rFonts w:hint="eastAsia" w:asciiTheme="minorEastAsia" w:hAnsiTheme="minorEastAsia" w:eastAsiaTheme="minorEastAsia"/>
          <w:sz w:val="24"/>
          <w:szCs w:val="24"/>
        </w:rPr>
        <w:t>3.7响应文件的式样</w:t>
      </w:r>
      <w:bookmarkEnd w:id="598"/>
      <w:bookmarkEnd w:id="599"/>
      <w:bookmarkEnd w:id="600"/>
      <w:r>
        <w:rPr>
          <w:rFonts w:hint="eastAsia" w:asciiTheme="minorEastAsia" w:hAnsiTheme="minorEastAsia" w:eastAsiaTheme="minorEastAsia"/>
          <w:sz w:val="24"/>
          <w:szCs w:val="24"/>
        </w:rPr>
        <w:t>、密封和标记</w:t>
      </w:r>
      <w:bookmarkEnd w:id="601"/>
      <w:bookmarkEnd w:id="602"/>
      <w:bookmarkEnd w:id="603"/>
      <w:bookmarkEnd w:id="604"/>
      <w:r>
        <w:rPr>
          <w:rFonts w:hint="eastAsia" w:asciiTheme="minorEastAsia" w:hAnsiTheme="minorEastAsia" w:eastAsiaTheme="minorEastAsia"/>
          <w:sz w:val="24"/>
          <w:szCs w:val="24"/>
        </w:rPr>
        <w:t>（递交纸质文件适用）</w:t>
      </w:r>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
    <w:p w14:paraId="1C4663CC">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3.7.1</w:t>
      </w:r>
      <w:r>
        <w:rPr>
          <w:rFonts w:hint="eastAsia" w:asciiTheme="minorEastAsia" w:hAnsiTheme="minorEastAsia" w:eastAsiaTheme="minorEastAsia"/>
        </w:rPr>
        <w:t>供应商应当编制一份响应文件“正本”和供应商须知前附表所述份数的“副本”和“电子版”，副本为正本复印件。响应文件正本和副本如有不一致之处，以正本为准；纸质版文件与电子版文件不一致时，以纸质版文件为准。</w:t>
      </w:r>
    </w:p>
    <w:p w14:paraId="536F382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3.7.2每份响应文件的正本、副本及电子版应当分别装订，并于封面上明确标明“正本”、“副本”和“电子版”字样。</w:t>
      </w:r>
    </w:p>
    <w:p w14:paraId="6CCA7FCB">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3.7.3响应文件应当按照询比文件规定密封包装，并于封装封面上明确标明“正本”、“副本”和“电子版”字样。密封的所有粘接缝隙必须加盖单位公章或者由供应商的法定代表人或者其委托代理人签字。</w:t>
      </w:r>
    </w:p>
    <w:p w14:paraId="2F957519">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3.7.4外层包封应当写明采购人名称和地址、项目名称、项目编号、并注明响应文件开启时间以前不得开封。还应当写明供应商的名称与地址、邮政编码，以便响应出现逾期送达时能原封退回。</w:t>
      </w:r>
    </w:p>
    <w:p w14:paraId="13BA1EB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3.7.5递交响应文件时，采购人应当对符合询比文件规定密封和标记的响应文件进行签收。</w:t>
      </w:r>
    </w:p>
    <w:p w14:paraId="66393C2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3.7.6</w:t>
      </w:r>
      <w:r>
        <w:rPr>
          <w:rFonts w:hint="eastAsia" w:asciiTheme="minorEastAsia" w:hAnsiTheme="minorEastAsia" w:eastAsiaTheme="minorEastAsia"/>
        </w:rPr>
        <w:t>采购人对于响应文件密封、标记另有要求的，见供应商须知前附表。</w:t>
      </w:r>
    </w:p>
    <w:p w14:paraId="3CC49C2C">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21" w:name="_Toc18037"/>
      <w:bookmarkStart w:id="622" w:name="_Toc19527"/>
      <w:bookmarkStart w:id="623" w:name="_Toc1317"/>
      <w:bookmarkStart w:id="624" w:name="_Toc28536"/>
      <w:bookmarkStart w:id="625" w:name="_Toc3447"/>
      <w:bookmarkStart w:id="626" w:name="_Toc22528"/>
      <w:bookmarkStart w:id="627" w:name="_Toc21732"/>
      <w:bookmarkStart w:id="628" w:name="_Toc20000"/>
      <w:bookmarkStart w:id="629" w:name="_Toc28108"/>
      <w:bookmarkStart w:id="630" w:name="_Toc11074"/>
      <w:bookmarkStart w:id="631" w:name="_Toc10544"/>
      <w:bookmarkStart w:id="632" w:name="_Toc21764"/>
      <w:bookmarkStart w:id="633" w:name="_Toc26743"/>
      <w:bookmarkStart w:id="634" w:name="_Toc9665"/>
      <w:bookmarkStart w:id="635" w:name="_Toc2077"/>
      <w:bookmarkStart w:id="636" w:name="_Toc26183"/>
      <w:r>
        <w:rPr>
          <w:rFonts w:hint="eastAsia" w:asciiTheme="minorEastAsia" w:hAnsiTheme="minorEastAsia" w:eastAsiaTheme="minorEastAsia"/>
          <w:sz w:val="24"/>
          <w:szCs w:val="24"/>
        </w:rPr>
        <w:t>3.8电子询比的响应文件上传形式</w:t>
      </w:r>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5DA82A2F">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响应文件应当按照供应商须知前附表要求的形式上传。</w:t>
      </w:r>
    </w:p>
    <w:bookmarkEnd w:id="480"/>
    <w:bookmarkEnd w:id="481"/>
    <w:bookmarkEnd w:id="482"/>
    <w:p w14:paraId="176743FD">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637" w:name="_Toc477190297"/>
      <w:bookmarkEnd w:id="637"/>
      <w:bookmarkStart w:id="638" w:name="_Toc477190296"/>
      <w:bookmarkEnd w:id="638"/>
      <w:bookmarkStart w:id="639" w:name="_Toc2109"/>
      <w:bookmarkStart w:id="640" w:name="_Toc28328"/>
      <w:bookmarkStart w:id="641" w:name="_Toc26292"/>
      <w:bookmarkStart w:id="642" w:name="_Toc5265"/>
      <w:bookmarkStart w:id="643" w:name="_Toc26752"/>
      <w:bookmarkStart w:id="644" w:name="_Toc7054"/>
      <w:bookmarkStart w:id="645" w:name="_Toc12525"/>
      <w:bookmarkStart w:id="646" w:name="_Toc20006"/>
      <w:bookmarkStart w:id="647" w:name="_Toc4014"/>
      <w:bookmarkStart w:id="648" w:name="_Toc14"/>
      <w:bookmarkStart w:id="649" w:name="_Toc28648"/>
      <w:bookmarkStart w:id="650" w:name="_Toc21462"/>
      <w:bookmarkStart w:id="651" w:name="_Toc3005"/>
      <w:bookmarkStart w:id="652" w:name="_Toc16296"/>
      <w:bookmarkStart w:id="653" w:name="_Toc24335"/>
      <w:r>
        <w:rPr>
          <w:rFonts w:hint="eastAsia" w:asciiTheme="minorEastAsia" w:hAnsiTheme="minorEastAsia" w:eastAsiaTheme="minorEastAsia"/>
          <w:sz w:val="28"/>
          <w:szCs w:val="28"/>
        </w:rPr>
        <w:t>询比响应</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6FA7FE8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54" w:name="_Toc447265243"/>
      <w:bookmarkStart w:id="655" w:name="_Toc24706"/>
      <w:bookmarkStart w:id="656" w:name="_Toc447265529"/>
      <w:bookmarkStart w:id="657" w:name="_Toc447188692"/>
      <w:bookmarkStart w:id="658" w:name="_Toc24056"/>
      <w:bookmarkStart w:id="659" w:name="_Toc30715"/>
      <w:bookmarkStart w:id="660" w:name="_Toc10781"/>
      <w:bookmarkStart w:id="661" w:name="_Toc24658"/>
      <w:bookmarkStart w:id="662" w:name="_Toc11981"/>
      <w:bookmarkStart w:id="663" w:name="_Toc10886"/>
      <w:bookmarkStart w:id="664" w:name="_Toc22506"/>
      <w:bookmarkStart w:id="665" w:name="_Toc14761"/>
      <w:bookmarkStart w:id="666" w:name="_Toc12667"/>
      <w:bookmarkStart w:id="667" w:name="_Toc20899"/>
      <w:bookmarkStart w:id="668" w:name="_Toc2347"/>
      <w:bookmarkStart w:id="669" w:name="_Toc7007"/>
      <w:bookmarkStart w:id="670" w:name="_Toc9359"/>
      <w:bookmarkStart w:id="671" w:name="_Toc18052"/>
      <w:bookmarkStart w:id="672" w:name="_Toc22210"/>
      <w:r>
        <w:rPr>
          <w:rFonts w:hint="eastAsia" w:asciiTheme="minorEastAsia" w:hAnsiTheme="minorEastAsia" w:eastAsiaTheme="minorEastAsia"/>
          <w:sz w:val="24"/>
          <w:szCs w:val="24"/>
        </w:rPr>
        <w:t>4.1</w:t>
      </w:r>
      <w:bookmarkEnd w:id="483"/>
      <w:bookmarkEnd w:id="484"/>
      <w:r>
        <w:rPr>
          <w:rFonts w:hint="eastAsia" w:asciiTheme="minorEastAsia" w:hAnsiTheme="minorEastAsia" w:eastAsiaTheme="minorEastAsia"/>
          <w:sz w:val="24"/>
          <w:szCs w:val="24"/>
        </w:rPr>
        <w:t>响应文件的</w:t>
      </w:r>
      <w:bookmarkEnd w:id="485"/>
      <w:bookmarkEnd w:id="486"/>
      <w:bookmarkEnd w:id="654"/>
      <w:bookmarkEnd w:id="655"/>
      <w:bookmarkEnd w:id="656"/>
      <w:bookmarkEnd w:id="657"/>
      <w:r>
        <w:rPr>
          <w:rFonts w:hint="eastAsia" w:asciiTheme="minorEastAsia" w:hAnsiTheme="minorEastAsia" w:eastAsiaTheme="minorEastAsia"/>
          <w:sz w:val="24"/>
          <w:szCs w:val="24"/>
        </w:rPr>
        <w:t>提交</w:t>
      </w:r>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1ADB5A2E">
      <w:pPr>
        <w:pStyle w:val="21"/>
        <w:tabs>
          <w:tab w:val="left" w:pos="630"/>
        </w:tabs>
        <w:snapToGrid w:val="0"/>
        <w:spacing w:line="440" w:lineRule="exact"/>
        <w:ind w:firstLine="424" w:firstLineChars="202"/>
        <w:rPr>
          <w:rFonts w:asciiTheme="minorEastAsia" w:hAnsiTheme="minorEastAsia" w:eastAsiaTheme="minorEastAsia"/>
        </w:rPr>
      </w:pPr>
      <w:bookmarkStart w:id="673" w:name="_Toc488655849"/>
      <w:bookmarkStart w:id="674" w:name="_Toc107822504"/>
      <w:bookmarkStart w:id="675" w:name="_Toc488655850"/>
      <w:bookmarkStart w:id="676" w:name="_Toc107822505"/>
      <w:bookmarkStart w:id="677" w:name="_Toc226969301"/>
      <w:bookmarkStart w:id="678" w:name="_Toc227057907"/>
      <w:bookmarkStart w:id="679" w:name="_Toc447188693"/>
      <w:bookmarkStart w:id="680" w:name="_Toc447265244"/>
      <w:bookmarkStart w:id="681" w:name="_Toc447265530"/>
      <w:r>
        <w:rPr>
          <w:rFonts w:hint="eastAsia" w:asciiTheme="minorEastAsia" w:hAnsiTheme="minorEastAsia" w:eastAsiaTheme="minorEastAsia"/>
        </w:rPr>
        <w:t>4.1.1响应文件提交截止时间：见供应商须知前附表。</w:t>
      </w:r>
    </w:p>
    <w:p w14:paraId="6C1F5CEB">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4.1.2</w:t>
      </w:r>
      <w:r>
        <w:rPr>
          <w:rFonts w:hint="eastAsia" w:asciiTheme="minorEastAsia" w:hAnsiTheme="minorEastAsia" w:eastAsiaTheme="minorEastAsia"/>
        </w:rPr>
        <w:t>响应文件提交地点：见供应商须知前附表。</w:t>
      </w:r>
    </w:p>
    <w:p w14:paraId="0A3C84C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4.1.3采购人收到响应文件后，向供应商出具签收凭证。</w:t>
      </w:r>
    </w:p>
    <w:p w14:paraId="4EBEA53A">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4.1.4</w:t>
      </w:r>
      <w:r>
        <w:rPr>
          <w:rFonts w:hint="eastAsia" w:asciiTheme="minorEastAsia" w:hAnsiTheme="minorEastAsia" w:eastAsiaTheme="minorEastAsia"/>
        </w:rPr>
        <w:t>除供应商须知前附表另有规定外，供应商所提交的响应文件不予退还。</w:t>
      </w:r>
    </w:p>
    <w:p w14:paraId="02D5813C">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4.1.5出现以下情形之一时，采购人/采购代理机构不予接收响应文件：</w:t>
      </w:r>
    </w:p>
    <w:p w14:paraId="53CB8222">
      <w:pPr>
        <w:pStyle w:val="48"/>
        <w:numPr>
          <w:ilvl w:val="0"/>
          <w:numId w:val="9"/>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响应文件未按要求加密的；</w:t>
      </w:r>
    </w:p>
    <w:p w14:paraId="414C3A0E">
      <w:pPr>
        <w:pStyle w:val="48"/>
        <w:numPr>
          <w:ilvl w:val="0"/>
          <w:numId w:val="9"/>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未按规定获取询比文件的；</w:t>
      </w:r>
    </w:p>
    <w:p w14:paraId="245C048D">
      <w:pPr>
        <w:pStyle w:val="48"/>
        <w:numPr>
          <w:ilvl w:val="0"/>
          <w:numId w:val="9"/>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未通过资格预审的申请人提交响应文件的；</w:t>
      </w:r>
    </w:p>
    <w:p w14:paraId="79276A6A">
      <w:pPr>
        <w:pStyle w:val="48"/>
        <w:numPr>
          <w:ilvl w:val="0"/>
          <w:numId w:val="9"/>
        </w:numPr>
        <w:tabs>
          <w:tab w:val="left" w:pos="993"/>
        </w:tabs>
        <w:spacing w:line="400" w:lineRule="exact"/>
        <w:ind w:left="0" w:firstLine="424" w:firstLineChars="202"/>
        <w:rPr>
          <w:rFonts w:asciiTheme="minorEastAsia" w:hAnsiTheme="minorEastAsia" w:eastAsiaTheme="minorEastAsia"/>
        </w:rPr>
      </w:pPr>
      <w:r>
        <w:rPr>
          <w:rFonts w:hint="eastAsia" w:asciiTheme="minorEastAsia" w:hAnsiTheme="minorEastAsia" w:eastAsiaTheme="minorEastAsia"/>
        </w:rPr>
        <w:t>未在响应文件提交截止时间前按规定提交响应文件的。</w:t>
      </w:r>
    </w:p>
    <w:p w14:paraId="0AABEB38">
      <w:pPr>
        <w:pStyle w:val="21"/>
        <w:tabs>
          <w:tab w:val="left" w:pos="630"/>
        </w:tabs>
        <w:snapToGrid w:val="0"/>
        <w:spacing w:line="360" w:lineRule="exact"/>
        <w:ind w:firstLine="424" w:firstLineChars="202"/>
        <w:jc w:val="left"/>
        <w:rPr>
          <w:rFonts w:asciiTheme="minorEastAsia" w:hAnsiTheme="minorEastAsia" w:eastAsiaTheme="minorEastAsia"/>
        </w:rPr>
      </w:pPr>
      <w:r>
        <w:rPr>
          <w:rFonts w:hint="eastAsia" w:asciiTheme="minorEastAsia" w:hAnsiTheme="minorEastAsia" w:eastAsiaTheme="minorEastAsia"/>
        </w:rPr>
        <w:t>4.1.6提交</w:t>
      </w:r>
      <w:r>
        <w:rPr>
          <w:rFonts w:hint="eastAsia" w:asciiTheme="minorEastAsia" w:hAnsiTheme="minorEastAsia" w:eastAsiaTheme="minorEastAsia"/>
          <w:szCs w:val="21"/>
        </w:rPr>
        <w:t>响应文件的供应商不足三家的，</w:t>
      </w:r>
      <w:r>
        <w:rPr>
          <w:rFonts w:hint="eastAsia" w:asciiTheme="minorEastAsia" w:hAnsiTheme="minorEastAsia" w:eastAsiaTheme="minorEastAsia"/>
        </w:rPr>
        <w:t>处理原则见供应商须知前附表。</w:t>
      </w:r>
    </w:p>
    <w:p w14:paraId="364421C1">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4.1.7 采购人采用电子询比方式的，响应文件提交异常的处理方式见供应商须知前附表。</w:t>
      </w:r>
    </w:p>
    <w:bookmarkEnd w:id="673"/>
    <w:bookmarkEnd w:id="674"/>
    <w:p w14:paraId="6ECFBC82">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682" w:name="_Toc8844"/>
      <w:bookmarkStart w:id="683" w:name="_Toc24610"/>
      <w:bookmarkStart w:id="684" w:name="_Toc31398"/>
      <w:bookmarkStart w:id="685" w:name="_Toc25220"/>
      <w:bookmarkStart w:id="686" w:name="_Toc23240"/>
      <w:bookmarkStart w:id="687" w:name="_Toc17450"/>
      <w:bookmarkStart w:id="688" w:name="_Toc19084"/>
      <w:bookmarkStart w:id="689" w:name="_Toc28236"/>
      <w:bookmarkStart w:id="690" w:name="_Toc25834"/>
      <w:bookmarkStart w:id="691" w:name="_Toc10916"/>
      <w:bookmarkStart w:id="692" w:name="_Toc19415"/>
      <w:bookmarkStart w:id="693" w:name="_Toc17301"/>
      <w:bookmarkStart w:id="694" w:name="_Toc3789"/>
      <w:bookmarkStart w:id="695" w:name="_Toc31765"/>
      <w:bookmarkStart w:id="696" w:name="_Toc7714"/>
      <w:bookmarkStart w:id="697" w:name="_Toc16037"/>
      <w:r>
        <w:rPr>
          <w:rFonts w:hint="eastAsia" w:asciiTheme="minorEastAsia" w:hAnsiTheme="minorEastAsia" w:eastAsiaTheme="minorEastAsia"/>
          <w:sz w:val="24"/>
          <w:szCs w:val="24"/>
        </w:rPr>
        <w:t>4.2响应文件的修改、撤回</w:t>
      </w:r>
      <w:bookmarkEnd w:id="675"/>
      <w:bookmarkEnd w:id="676"/>
      <w:bookmarkEnd w:id="677"/>
      <w:bookmarkEnd w:id="678"/>
      <w:r>
        <w:rPr>
          <w:rFonts w:hint="eastAsia" w:asciiTheme="minorEastAsia" w:hAnsiTheme="minorEastAsia" w:eastAsiaTheme="minorEastAsia"/>
          <w:sz w:val="24"/>
          <w:szCs w:val="24"/>
        </w:rPr>
        <w:t>和撤销</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327FB2E6">
      <w:pPr>
        <w:pStyle w:val="21"/>
        <w:tabs>
          <w:tab w:val="left" w:pos="630"/>
        </w:tabs>
        <w:snapToGrid w:val="0"/>
        <w:spacing w:line="440" w:lineRule="exact"/>
        <w:ind w:firstLine="424" w:firstLineChars="202"/>
        <w:rPr>
          <w:rFonts w:asciiTheme="minorEastAsia" w:hAnsiTheme="minorEastAsia" w:eastAsiaTheme="minorEastAsia"/>
        </w:rPr>
      </w:pPr>
      <w:bookmarkStart w:id="698" w:name="_Toc246996203"/>
      <w:bookmarkStart w:id="699" w:name="_Toc447265531"/>
      <w:bookmarkStart w:id="700" w:name="_Toc144974527"/>
      <w:bookmarkStart w:id="701" w:name="_Toc296602447"/>
      <w:bookmarkStart w:id="702" w:name="_Toc247085717"/>
      <w:bookmarkStart w:id="703" w:name="_Toc447188694"/>
      <w:bookmarkStart w:id="704" w:name="_Toc246996946"/>
      <w:bookmarkStart w:id="705" w:name="_Toc152045559"/>
      <w:bookmarkStart w:id="706" w:name="_Toc152042335"/>
      <w:bookmarkStart w:id="707" w:name="_Toc447265245"/>
      <w:bookmarkStart w:id="708" w:name="_Toc179632577"/>
      <w:bookmarkStart w:id="709" w:name="_Toc107822506"/>
      <w:bookmarkStart w:id="710" w:name="_Toc488655852"/>
      <w:bookmarkStart w:id="711" w:name="_Toc227057908"/>
      <w:bookmarkStart w:id="712" w:name="_Toc226969302"/>
      <w:r>
        <w:rPr>
          <w:rFonts w:asciiTheme="minorEastAsia" w:hAnsiTheme="minorEastAsia" w:eastAsiaTheme="minorEastAsia"/>
        </w:rPr>
        <w:t>4.2.1</w:t>
      </w:r>
      <w:r>
        <w:rPr>
          <w:rFonts w:hint="eastAsia" w:asciiTheme="minorEastAsia" w:hAnsiTheme="minorEastAsia" w:eastAsiaTheme="minorEastAsia"/>
        </w:rPr>
        <w:t>在规定的响应截止时间前，供应商可以修改或者撤回已提交的响应文件。</w:t>
      </w:r>
    </w:p>
    <w:p w14:paraId="67FEFC24">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4.2.2</w:t>
      </w:r>
      <w:r>
        <w:rPr>
          <w:rFonts w:hint="eastAsia" w:asciiTheme="minorEastAsia" w:hAnsiTheme="minorEastAsia" w:eastAsiaTheme="minorEastAsia"/>
        </w:rPr>
        <w:t>供应商修改后的响应文件，应当在规定的响应截止时间前按照询比文件的规定编制、加密、提交。</w:t>
      </w:r>
    </w:p>
    <w:p w14:paraId="3C1BE21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4.2.3</w:t>
      </w:r>
      <w:r>
        <w:rPr>
          <w:rFonts w:hint="eastAsia" w:asciiTheme="minorEastAsia" w:hAnsiTheme="minorEastAsia" w:eastAsiaTheme="minorEastAsia"/>
        </w:rPr>
        <w:t>供应商撤回已提交的响应文件，应当书面通知采购人。采购人已收取响应保证金的，应当自收到供应商书面撤回通知之日起5日内退还。</w:t>
      </w:r>
    </w:p>
    <w:p w14:paraId="14BCA316">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4.2.4供应商在规定的响应截止时间后，不得在响应有效期内撤销或者修改其响应文件。否则采购人有权不退还其响应保证金。</w:t>
      </w:r>
    </w:p>
    <w:bookmarkEnd w:id="698"/>
    <w:bookmarkEnd w:id="699"/>
    <w:bookmarkEnd w:id="700"/>
    <w:bookmarkEnd w:id="701"/>
    <w:bookmarkEnd w:id="702"/>
    <w:bookmarkEnd w:id="703"/>
    <w:bookmarkEnd w:id="704"/>
    <w:bookmarkEnd w:id="705"/>
    <w:bookmarkEnd w:id="706"/>
    <w:bookmarkEnd w:id="707"/>
    <w:bookmarkEnd w:id="708"/>
    <w:p w14:paraId="23C92E9A">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713" w:name="_Toc18520"/>
      <w:bookmarkStart w:id="714" w:name="_Toc19827"/>
      <w:bookmarkStart w:id="715" w:name="_Toc31334"/>
      <w:bookmarkStart w:id="716" w:name="_Toc32246"/>
      <w:bookmarkStart w:id="717" w:name="_Toc154"/>
      <w:bookmarkStart w:id="718" w:name="_Toc23410"/>
      <w:bookmarkStart w:id="719" w:name="_Toc32124"/>
      <w:bookmarkStart w:id="720" w:name="_Toc27006"/>
      <w:bookmarkStart w:id="721" w:name="_Toc30051"/>
      <w:bookmarkStart w:id="722" w:name="_Toc294"/>
      <w:bookmarkStart w:id="723" w:name="_Toc27280"/>
      <w:bookmarkStart w:id="724" w:name="_Toc23818"/>
      <w:bookmarkStart w:id="725" w:name="_Toc12187"/>
      <w:bookmarkStart w:id="726" w:name="_Toc6501"/>
      <w:bookmarkStart w:id="727" w:name="_Toc14675"/>
      <w:r>
        <w:rPr>
          <w:rFonts w:hint="eastAsia" w:asciiTheme="minorEastAsia" w:hAnsiTheme="minorEastAsia" w:eastAsiaTheme="minorEastAsia"/>
          <w:sz w:val="28"/>
          <w:szCs w:val="28"/>
        </w:rPr>
        <w:t>响应文件开启</w:t>
      </w:r>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p w14:paraId="780D98D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28" w:name="_Toc447265532"/>
      <w:bookmarkStart w:id="729" w:name="_Toc447265246"/>
      <w:bookmarkStart w:id="730" w:name="_Toc30544"/>
      <w:bookmarkStart w:id="731" w:name="_Toc9282"/>
      <w:bookmarkStart w:id="732" w:name="_Toc21697"/>
      <w:bookmarkStart w:id="733" w:name="_Toc20866"/>
      <w:bookmarkStart w:id="734" w:name="_Toc7044"/>
      <w:bookmarkStart w:id="735" w:name="_Toc32340"/>
      <w:bookmarkStart w:id="736" w:name="_Toc507"/>
      <w:bookmarkStart w:id="737" w:name="_Toc15330"/>
      <w:bookmarkStart w:id="738" w:name="_Toc8121"/>
      <w:bookmarkStart w:id="739" w:name="_Toc447188695"/>
      <w:bookmarkStart w:id="740" w:name="_Toc18254"/>
      <w:bookmarkStart w:id="741" w:name="_Toc25726"/>
      <w:bookmarkStart w:id="742" w:name="_Toc6291"/>
      <w:bookmarkStart w:id="743" w:name="_Toc11724"/>
      <w:bookmarkStart w:id="744" w:name="_Toc2329"/>
      <w:bookmarkStart w:id="745" w:name="_Toc17311"/>
      <w:bookmarkStart w:id="746" w:name="_Toc27215"/>
      <w:r>
        <w:rPr>
          <w:rFonts w:hint="eastAsia" w:asciiTheme="minorEastAsia" w:hAnsiTheme="minorEastAsia" w:eastAsiaTheme="minorEastAsia"/>
          <w:sz w:val="24"/>
          <w:szCs w:val="24"/>
        </w:rPr>
        <w:t>5.1</w:t>
      </w:r>
      <w:bookmarkEnd w:id="709"/>
      <w:bookmarkEnd w:id="710"/>
      <w:bookmarkEnd w:id="711"/>
      <w:bookmarkEnd w:id="712"/>
      <w:r>
        <w:rPr>
          <w:rFonts w:hint="eastAsia" w:asciiTheme="minorEastAsia" w:hAnsiTheme="minorEastAsia" w:eastAsiaTheme="minorEastAsia"/>
          <w:sz w:val="24"/>
          <w:szCs w:val="24"/>
        </w:rPr>
        <w:t>响应文件开启时间和地点</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p>
    <w:p w14:paraId="3CAD7A93">
      <w:pPr>
        <w:pStyle w:val="21"/>
        <w:tabs>
          <w:tab w:val="left" w:pos="630"/>
        </w:tabs>
        <w:snapToGrid w:val="0"/>
        <w:spacing w:line="440" w:lineRule="exact"/>
        <w:ind w:firstLine="420" w:firstLineChars="200"/>
        <w:rPr>
          <w:rFonts w:asciiTheme="minorEastAsia" w:hAnsiTheme="minorEastAsia" w:eastAsiaTheme="minorEastAsia"/>
        </w:rPr>
      </w:pPr>
      <w:r>
        <w:rPr>
          <w:rFonts w:hint="eastAsia" w:asciiTheme="minorEastAsia" w:hAnsiTheme="minorEastAsia" w:eastAsiaTheme="minorEastAsia"/>
        </w:rPr>
        <w:t>采购人将按照供应商须知前附表规定的时间和地点开启响应文件，响应文件开启时间和响应截止时间应当为同一时间。</w:t>
      </w:r>
    </w:p>
    <w:p w14:paraId="664426A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47" w:name="_Toc447188696"/>
      <w:bookmarkStart w:id="748" w:name="_Toc32195"/>
      <w:bookmarkStart w:id="749" w:name="_Toc8096"/>
      <w:bookmarkStart w:id="750" w:name="_Toc10445"/>
      <w:bookmarkStart w:id="751" w:name="_Toc6220"/>
      <w:bookmarkStart w:id="752" w:name="_Toc11191"/>
      <w:bookmarkStart w:id="753" w:name="_Toc13155"/>
      <w:bookmarkStart w:id="754" w:name="_Toc19752"/>
      <w:bookmarkStart w:id="755" w:name="_Toc31246"/>
      <w:bookmarkStart w:id="756" w:name="_Toc21079"/>
      <w:bookmarkStart w:id="757" w:name="_Toc31335"/>
      <w:bookmarkStart w:id="758" w:name="_Toc447265247"/>
      <w:bookmarkStart w:id="759" w:name="_Toc28627"/>
      <w:bookmarkStart w:id="760" w:name="_Toc17122"/>
      <w:bookmarkStart w:id="761" w:name="_Toc29259"/>
      <w:bookmarkStart w:id="762" w:name="_Toc18628"/>
      <w:bookmarkStart w:id="763" w:name="_Toc2268"/>
      <w:bookmarkStart w:id="764" w:name="_Toc447265533"/>
      <w:bookmarkStart w:id="765" w:name="_Toc14442"/>
      <w:r>
        <w:rPr>
          <w:rFonts w:hint="eastAsia" w:asciiTheme="minorEastAsia" w:hAnsiTheme="minorEastAsia" w:eastAsiaTheme="minorEastAsia"/>
          <w:sz w:val="24"/>
          <w:szCs w:val="24"/>
        </w:rPr>
        <w:t>5.2响应文件开启程序</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p>
    <w:p w14:paraId="5F8BB8EC">
      <w:pPr>
        <w:pStyle w:val="21"/>
        <w:tabs>
          <w:tab w:val="left" w:pos="630"/>
        </w:tabs>
        <w:snapToGrid w:val="0"/>
        <w:spacing w:line="440" w:lineRule="exact"/>
        <w:ind w:firstLine="424" w:firstLineChars="202"/>
        <w:rPr>
          <w:rFonts w:asciiTheme="minorEastAsia" w:hAnsiTheme="minorEastAsia" w:eastAsiaTheme="minorEastAsia"/>
        </w:rPr>
      </w:pPr>
      <w:bookmarkStart w:id="766" w:name="_Toc246996949"/>
      <w:bookmarkStart w:id="767" w:name="_Toc247085720"/>
      <w:bookmarkStart w:id="768" w:name="_Toc179632580"/>
      <w:bookmarkStart w:id="769" w:name="_Toc447188699"/>
      <w:bookmarkStart w:id="770" w:name="_Toc246996206"/>
      <w:bookmarkStart w:id="771" w:name="_Toc447265250"/>
      <w:bookmarkStart w:id="772" w:name="_Toc144974530"/>
      <w:bookmarkStart w:id="773" w:name="_Toc152045562"/>
      <w:bookmarkStart w:id="774" w:name="_Toc152042338"/>
      <w:bookmarkStart w:id="775" w:name="_Toc296602451"/>
      <w:bookmarkStart w:id="776" w:name="_Toc447265536"/>
      <w:bookmarkStart w:id="777" w:name="_Toc227057909"/>
      <w:bookmarkStart w:id="778" w:name="_Toc226969303"/>
      <w:bookmarkStart w:id="779" w:name="_Toc107822507"/>
      <w:r>
        <w:rPr>
          <w:rFonts w:hint="eastAsia" w:asciiTheme="minorEastAsia" w:hAnsiTheme="minorEastAsia" w:eastAsiaTheme="minorEastAsia"/>
        </w:rPr>
        <w:t>5.2.1响应文件开启会议由采购人或者其委托的采购代理机构组织并主持，邀请所有的响应供应商或者其代表出席。</w:t>
      </w:r>
    </w:p>
    <w:p w14:paraId="0E4210E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5.2.2响应文件提交</w:t>
      </w:r>
      <w:r>
        <w:rPr>
          <w:rFonts w:asciiTheme="minorEastAsia" w:hAnsiTheme="minorEastAsia" w:eastAsiaTheme="minorEastAsia"/>
        </w:rPr>
        <w:t>截止时间前收到的所有</w:t>
      </w:r>
      <w:r>
        <w:rPr>
          <w:rFonts w:hint="eastAsia" w:asciiTheme="minorEastAsia" w:hAnsiTheme="minorEastAsia" w:eastAsiaTheme="minorEastAsia"/>
        </w:rPr>
        <w:t>响应文件</w:t>
      </w:r>
      <w:r>
        <w:rPr>
          <w:rFonts w:asciiTheme="minorEastAsia" w:hAnsiTheme="minorEastAsia" w:eastAsiaTheme="minorEastAsia"/>
        </w:rPr>
        <w:t>都应当当众予以</w:t>
      </w:r>
      <w:r>
        <w:rPr>
          <w:rFonts w:hint="eastAsia" w:asciiTheme="minorEastAsia" w:hAnsiTheme="minorEastAsia" w:eastAsiaTheme="minorEastAsia"/>
        </w:rPr>
        <w:t>解密、开启，</w:t>
      </w:r>
      <w:r>
        <w:rPr>
          <w:rFonts w:asciiTheme="minorEastAsia" w:hAnsiTheme="minorEastAsia" w:eastAsiaTheme="minorEastAsia"/>
        </w:rPr>
        <w:t>但</w:t>
      </w:r>
      <w:r>
        <w:rPr>
          <w:rFonts w:hint="eastAsia" w:asciiTheme="minorEastAsia" w:hAnsiTheme="minorEastAsia" w:eastAsiaTheme="minorEastAsia"/>
        </w:rPr>
        <w:t>按照询比文件规定递交合格的书面撤回通知的响应文件除外。</w:t>
      </w:r>
    </w:p>
    <w:p w14:paraId="179009C0">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5.2.3</w:t>
      </w:r>
      <w:r>
        <w:rPr>
          <w:rFonts w:hint="eastAsia" w:asciiTheme="minorEastAsia" w:hAnsiTheme="minorEastAsia" w:eastAsiaTheme="minorEastAsia"/>
        </w:rPr>
        <w:t>响应文件开启时，采购人或者其委托的采购代理机构应当公布参加本项目询比的供应商个数、响应文件的解密情况、所有响应供应商的“报价一览表”中的内容，“报价一览表”一般包括：供应商名称、响应总报价、交货期、响应保证金以及询比文件中规定的其他内容。</w:t>
      </w:r>
    </w:p>
    <w:p w14:paraId="0BD2C054">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5.2.4响应文件开启内容填写在“开启记录表”中，开启记录应由参加响应文件开启的响应供应商确认，存档备查。响应供应商未在规定时间内确认的，视为同意响应文件开启过程及内容。</w:t>
      </w:r>
    </w:p>
    <w:p w14:paraId="53B64F5A">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780" w:name="_Toc450489307"/>
      <w:bookmarkStart w:id="781" w:name="_Toc3865"/>
      <w:bookmarkStart w:id="782" w:name="_Toc447265534"/>
      <w:bookmarkStart w:id="783" w:name="_Toc32679"/>
      <w:bookmarkStart w:id="784" w:name="_Toc20940"/>
      <w:bookmarkStart w:id="785" w:name="_Toc30826"/>
      <w:bookmarkStart w:id="786" w:name="_Toc6772"/>
      <w:bookmarkStart w:id="787" w:name="_Toc2669"/>
      <w:bookmarkStart w:id="788" w:name="_Toc30683"/>
      <w:bookmarkStart w:id="789" w:name="_Toc10584"/>
      <w:bookmarkStart w:id="790" w:name="_Toc447188697"/>
      <w:bookmarkStart w:id="791" w:name="_Toc16597"/>
      <w:bookmarkStart w:id="792" w:name="_Toc26888"/>
      <w:bookmarkStart w:id="793" w:name="_Toc3443"/>
      <w:bookmarkStart w:id="794" w:name="_Toc22017"/>
      <w:bookmarkStart w:id="795" w:name="_Toc19513"/>
      <w:bookmarkStart w:id="796" w:name="_Toc12024"/>
      <w:bookmarkStart w:id="797" w:name="_Toc8240"/>
      <w:bookmarkStart w:id="798" w:name="_Toc447265248"/>
      <w:bookmarkStart w:id="799" w:name="_Toc31333"/>
      <w:r>
        <w:rPr>
          <w:rFonts w:hint="eastAsia" w:asciiTheme="minorEastAsia" w:hAnsiTheme="minorEastAsia" w:eastAsiaTheme="minorEastAsia"/>
          <w:sz w:val="24"/>
          <w:szCs w:val="24"/>
        </w:rPr>
        <w:t>5.3异议</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p>
    <w:p w14:paraId="140F086A">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5.3.1供应商对响应文件开启有异议的，应当在开启现场提出，采购人应当当场做出答复，并制作记录。</w:t>
      </w:r>
    </w:p>
    <w:p w14:paraId="1FC2806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5.3.2</w:t>
      </w:r>
      <w:r>
        <w:rPr>
          <w:rFonts w:hint="eastAsia" w:asciiTheme="minorEastAsia" w:hAnsiTheme="minorEastAsia" w:eastAsiaTheme="minorEastAsia"/>
        </w:rPr>
        <w:t>供应商认为存在低于成本价响应情形的，可以在开启现场提出异议，并在评审完成前向采购人递交书面材料，采购人应当及时将书面材料转交评审委员会。</w:t>
      </w:r>
    </w:p>
    <w:p w14:paraId="03C3FA1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00" w:name="_Toc12834"/>
      <w:bookmarkStart w:id="801" w:name="_Toc26370"/>
      <w:bookmarkStart w:id="802" w:name="_Toc19051"/>
      <w:bookmarkStart w:id="803" w:name="_Toc7521"/>
      <w:bookmarkStart w:id="804" w:name="_Toc2835"/>
      <w:bookmarkStart w:id="805" w:name="_Toc25900"/>
      <w:bookmarkStart w:id="806" w:name="_Toc1638"/>
      <w:bookmarkStart w:id="807" w:name="_Toc29066"/>
      <w:bookmarkStart w:id="808" w:name="_Toc2506"/>
      <w:bookmarkStart w:id="809" w:name="_Toc21743"/>
      <w:bookmarkStart w:id="810" w:name="_Toc8397"/>
      <w:bookmarkStart w:id="811" w:name="_Toc28341"/>
      <w:bookmarkStart w:id="812" w:name="_Toc4714"/>
      <w:bookmarkStart w:id="813" w:name="_Toc24726"/>
      <w:bookmarkStart w:id="814" w:name="_Toc8158"/>
      <w:bookmarkStart w:id="815" w:name="_Toc17146"/>
      <w:r>
        <w:rPr>
          <w:rFonts w:hint="eastAsia" w:asciiTheme="minorEastAsia" w:hAnsiTheme="minorEastAsia" w:eastAsiaTheme="minorEastAsia"/>
          <w:sz w:val="24"/>
          <w:szCs w:val="24"/>
        </w:rPr>
        <w:t>5.4电子询比的其他要求及异常处理</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105DC03D">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采购人采用电子询比方式的，响应文件开启的其他要求及异常处理方式见供应商须知前附表。</w:t>
      </w:r>
    </w:p>
    <w:bookmarkEnd w:id="766"/>
    <w:bookmarkEnd w:id="767"/>
    <w:bookmarkEnd w:id="768"/>
    <w:bookmarkEnd w:id="769"/>
    <w:bookmarkEnd w:id="770"/>
    <w:bookmarkEnd w:id="771"/>
    <w:bookmarkEnd w:id="772"/>
    <w:bookmarkEnd w:id="773"/>
    <w:bookmarkEnd w:id="774"/>
    <w:bookmarkEnd w:id="775"/>
    <w:bookmarkEnd w:id="776"/>
    <w:p w14:paraId="77A49802">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816" w:name="_Toc477190306"/>
      <w:bookmarkEnd w:id="816"/>
      <w:bookmarkStart w:id="817" w:name="_Toc477190305"/>
      <w:bookmarkEnd w:id="817"/>
      <w:bookmarkStart w:id="818" w:name="_Toc14743"/>
      <w:bookmarkStart w:id="819" w:name="_Toc8694"/>
      <w:bookmarkStart w:id="820" w:name="_Toc18135"/>
      <w:bookmarkStart w:id="821" w:name="_Toc9636"/>
      <w:bookmarkStart w:id="822" w:name="_Toc18788"/>
      <w:bookmarkStart w:id="823" w:name="_Toc29750"/>
      <w:bookmarkStart w:id="824" w:name="_Toc16339"/>
      <w:bookmarkStart w:id="825" w:name="_Toc6403"/>
      <w:bookmarkStart w:id="826" w:name="_Toc19576"/>
      <w:bookmarkStart w:id="827" w:name="_Toc219"/>
      <w:bookmarkStart w:id="828" w:name="_Toc14839"/>
      <w:bookmarkStart w:id="829" w:name="_Toc11893"/>
      <w:bookmarkStart w:id="830" w:name="_Toc13266"/>
      <w:bookmarkStart w:id="831" w:name="_Toc30464"/>
      <w:bookmarkStart w:id="832" w:name="_Toc26498"/>
      <w:r>
        <w:rPr>
          <w:rFonts w:hint="eastAsia" w:asciiTheme="minorEastAsia" w:hAnsiTheme="minorEastAsia" w:eastAsiaTheme="minorEastAsia"/>
          <w:sz w:val="28"/>
          <w:szCs w:val="28"/>
        </w:rPr>
        <w:t>评审</w:t>
      </w:r>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p>
    <w:p w14:paraId="0068793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33" w:name="_Toc21127"/>
      <w:bookmarkStart w:id="834" w:name="_Toc447265251"/>
      <w:bookmarkStart w:id="835" w:name="_Toc28463"/>
      <w:bookmarkStart w:id="836" w:name="_Toc7014"/>
      <w:bookmarkStart w:id="837" w:name="_Toc6420"/>
      <w:bookmarkStart w:id="838" w:name="_Toc1928"/>
      <w:bookmarkStart w:id="839" w:name="_Toc447188700"/>
      <w:bookmarkStart w:id="840" w:name="_Toc2759"/>
      <w:bookmarkStart w:id="841" w:name="_Toc11885"/>
      <w:bookmarkStart w:id="842" w:name="_Toc30655"/>
      <w:bookmarkStart w:id="843" w:name="_Toc15867"/>
      <w:bookmarkStart w:id="844" w:name="_Toc16230"/>
      <w:bookmarkStart w:id="845" w:name="_Toc21609"/>
      <w:bookmarkStart w:id="846" w:name="_Toc18674"/>
      <w:bookmarkStart w:id="847" w:name="_Toc12878"/>
      <w:bookmarkStart w:id="848" w:name="_Toc17677"/>
      <w:bookmarkStart w:id="849" w:name="_Toc886"/>
      <w:bookmarkStart w:id="850" w:name="_Toc32684"/>
      <w:bookmarkStart w:id="851" w:name="_Toc447265537"/>
      <w:r>
        <w:rPr>
          <w:rFonts w:hint="eastAsia" w:asciiTheme="minorEastAsia" w:hAnsiTheme="minorEastAsia" w:eastAsiaTheme="minorEastAsia"/>
          <w:sz w:val="24"/>
          <w:szCs w:val="24"/>
        </w:rPr>
        <w:t>6.1评审委员会</w:t>
      </w:r>
      <w:bookmarkEnd w:id="777"/>
      <w:bookmarkEnd w:id="778"/>
      <w:bookmarkEnd w:id="779"/>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p>
    <w:p w14:paraId="43000462">
      <w:pPr>
        <w:pStyle w:val="21"/>
        <w:tabs>
          <w:tab w:val="left" w:pos="630"/>
        </w:tabs>
        <w:snapToGrid w:val="0"/>
        <w:spacing w:line="440" w:lineRule="exact"/>
        <w:ind w:firstLine="424" w:firstLineChars="202"/>
        <w:rPr>
          <w:rFonts w:asciiTheme="minorEastAsia" w:hAnsiTheme="minorEastAsia" w:eastAsiaTheme="minorEastAsia"/>
        </w:rPr>
      </w:pPr>
      <w:bookmarkStart w:id="852" w:name="_Toc447265541"/>
      <w:bookmarkStart w:id="853" w:name="_Toc447188703"/>
      <w:bookmarkStart w:id="854" w:name="_Toc447265255"/>
      <w:bookmarkStart w:id="855" w:name="_Toc226969309"/>
      <w:bookmarkStart w:id="856" w:name="_Toc227057915"/>
      <w:bookmarkStart w:id="857" w:name="_Toc107822516"/>
      <w:bookmarkStart w:id="858" w:name="_Toc488655860"/>
      <w:r>
        <w:rPr>
          <w:rFonts w:hint="eastAsia" w:asciiTheme="minorEastAsia" w:hAnsiTheme="minorEastAsia" w:eastAsiaTheme="minorEastAsia"/>
        </w:rPr>
        <w:t>评审由评审委员会负责，任何单位和个人不得非法干预或者影响评审的过程和结果。评审委员会成员名单在成交结果确定前保密。</w:t>
      </w:r>
    </w:p>
    <w:p w14:paraId="72B4FAAB">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59" w:name="_Toc30255"/>
      <w:bookmarkStart w:id="860" w:name="_Toc12042"/>
      <w:bookmarkStart w:id="861" w:name="_Toc447265538"/>
      <w:bookmarkStart w:id="862" w:name="_Toc179632582"/>
      <w:bookmarkStart w:id="863" w:name="_Toc10605"/>
      <w:bookmarkStart w:id="864" w:name="_Toc11054"/>
      <w:bookmarkStart w:id="865" w:name="_Toc15036"/>
      <w:bookmarkStart w:id="866" w:name="_Toc450489311"/>
      <w:bookmarkStart w:id="867" w:name="_Toc247085722"/>
      <w:bookmarkStart w:id="868" w:name="_Toc4137"/>
      <w:bookmarkStart w:id="869" w:name="_Toc26459"/>
      <w:bookmarkStart w:id="870" w:name="_Toc152045564"/>
      <w:bookmarkStart w:id="871" w:name="_Toc22377"/>
      <w:bookmarkStart w:id="872" w:name="_Toc512"/>
      <w:bookmarkStart w:id="873" w:name="_Toc32135"/>
      <w:bookmarkStart w:id="874" w:name="_Toc144974532"/>
      <w:bookmarkStart w:id="875" w:name="_Toc152042340"/>
      <w:bookmarkStart w:id="876" w:name="_Toc447265252"/>
      <w:bookmarkStart w:id="877" w:name="_Toc13680"/>
      <w:bookmarkStart w:id="878" w:name="_Toc6205"/>
      <w:bookmarkStart w:id="879" w:name="_Toc296602453"/>
      <w:bookmarkStart w:id="880" w:name="_Toc7203"/>
      <w:bookmarkStart w:id="881" w:name="_Toc246996208"/>
      <w:bookmarkStart w:id="882" w:name="_Toc29495"/>
      <w:bookmarkStart w:id="883" w:name="_Toc20952"/>
      <w:bookmarkStart w:id="884" w:name="_Toc246996951"/>
      <w:bookmarkStart w:id="885" w:name="_Toc8184"/>
      <w:r>
        <w:rPr>
          <w:rFonts w:hint="eastAsia" w:asciiTheme="minorEastAsia" w:hAnsiTheme="minorEastAsia" w:eastAsiaTheme="minorEastAsia"/>
          <w:sz w:val="24"/>
          <w:szCs w:val="24"/>
        </w:rPr>
        <w:t>6.2评审原则</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14:paraId="24015CE5">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6.2.1评审活动遵循公平、公正、科学和择优的原则。</w:t>
      </w:r>
    </w:p>
    <w:p w14:paraId="635590E2">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6.2.2</w:t>
      </w:r>
      <w:r>
        <w:rPr>
          <w:rFonts w:hint="eastAsia" w:asciiTheme="minorEastAsia" w:hAnsiTheme="minorEastAsia" w:eastAsiaTheme="minorEastAsia"/>
        </w:rPr>
        <w:t>评审委员会按照第三章“评审办法”规定的方法、评审因素、标准和程序对响应文件进行评审。第三章“评审办法”没有规定的方法、评审因素和标准，不得作为评审依据。</w:t>
      </w:r>
    </w:p>
    <w:p w14:paraId="64A42A2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6.2.3响应文件开启后，部分供应商撤销响应文件或者被否决响应后，有效响应供应商不足三家的，经评审委员会认定具备竞争性，可以继续评审,评审委员会认定不具备竞争性的，应否决全部响应。</w:t>
      </w:r>
    </w:p>
    <w:p w14:paraId="71FDBE2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886" w:name="_Toc27297"/>
      <w:bookmarkStart w:id="887" w:name="_Toc21676"/>
      <w:bookmarkStart w:id="888" w:name="_Toc8123"/>
      <w:bookmarkStart w:id="889" w:name="_Toc30122"/>
      <w:bookmarkStart w:id="890" w:name="_Toc26970"/>
      <w:bookmarkStart w:id="891" w:name="_Toc24615"/>
      <w:bookmarkStart w:id="892" w:name="_Toc3750"/>
      <w:bookmarkStart w:id="893" w:name="_Toc12703"/>
      <w:bookmarkStart w:id="894" w:name="_Toc25448"/>
      <w:bookmarkStart w:id="895" w:name="_Toc447265253"/>
      <w:bookmarkStart w:id="896" w:name="_Toc3139"/>
      <w:bookmarkStart w:id="897" w:name="_Toc447265539"/>
      <w:bookmarkStart w:id="898" w:name="_Toc450489312"/>
      <w:bookmarkStart w:id="899" w:name="_Toc25140"/>
      <w:bookmarkStart w:id="900" w:name="_Toc10613"/>
      <w:bookmarkStart w:id="901" w:name="_Toc447188701"/>
      <w:bookmarkStart w:id="902" w:name="_Toc30649"/>
      <w:bookmarkStart w:id="903" w:name="_Toc13599"/>
      <w:bookmarkStart w:id="904" w:name="_Toc25761"/>
      <w:bookmarkStart w:id="905" w:name="_Toc30294"/>
      <w:r>
        <w:rPr>
          <w:rFonts w:hint="eastAsia" w:asciiTheme="minorEastAsia" w:hAnsiTheme="minorEastAsia" w:eastAsiaTheme="minorEastAsia"/>
          <w:sz w:val="24"/>
          <w:szCs w:val="24"/>
        </w:rPr>
        <w:t>6.3评审方法</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2E73D7F9">
      <w:pPr>
        <w:adjustRightInd w:val="0"/>
        <w:snapToGrid w:val="0"/>
        <w:spacing w:line="440" w:lineRule="exact"/>
        <w:ind w:firstLine="424" w:firstLineChars="202"/>
        <w:rPr>
          <w:rFonts w:asciiTheme="minorEastAsia" w:hAnsiTheme="minorEastAsia" w:eastAsiaTheme="minorEastAsia"/>
        </w:rPr>
      </w:pPr>
      <w:r>
        <w:rPr>
          <w:rFonts w:hint="eastAsia" w:cs="宋体" w:asciiTheme="minorEastAsia" w:hAnsiTheme="minorEastAsia" w:eastAsiaTheme="minorEastAsia"/>
          <w:szCs w:val="21"/>
        </w:rPr>
        <w:t>6.3.1本项目评审所采用的评审方法为</w:t>
      </w:r>
      <w:r>
        <w:rPr>
          <w:rFonts w:hint="eastAsia" w:asciiTheme="minorEastAsia" w:hAnsiTheme="minorEastAsia" w:eastAsiaTheme="minorEastAsia"/>
        </w:rPr>
        <w:t>综合评估法。最大限度地满足询比文件中规定的各项综合评价标准的响应，应当推荐为成交候选人，量化的标准和权重应当在询比文件中明确规定。</w:t>
      </w:r>
    </w:p>
    <w:p w14:paraId="2D313929">
      <w:pPr>
        <w:pStyle w:val="21"/>
        <w:tabs>
          <w:tab w:val="left" w:pos="588"/>
          <w:tab w:val="left" w:pos="630"/>
        </w:tabs>
        <w:snapToGrid w:val="0"/>
        <w:spacing w:before="120" w:after="120" w:line="440" w:lineRule="exact"/>
        <w:ind w:firstLine="424" w:firstLineChars="202"/>
        <w:jc w:val="left"/>
        <w:rPr>
          <w:rFonts w:asciiTheme="minorEastAsia" w:hAnsiTheme="minorEastAsia" w:eastAsiaTheme="minorEastAsia"/>
          <w:sz w:val="24"/>
          <w:szCs w:val="24"/>
        </w:rPr>
      </w:pPr>
      <w:r>
        <w:rPr>
          <w:rFonts w:hint="eastAsia" w:asciiTheme="minorEastAsia" w:hAnsiTheme="minorEastAsia" w:eastAsiaTheme="minorEastAsia"/>
        </w:rPr>
        <w:t>6.3.2</w:t>
      </w:r>
      <w:r>
        <w:rPr>
          <w:rFonts w:asciiTheme="minorEastAsia" w:hAnsiTheme="minorEastAsia" w:eastAsiaTheme="minorEastAsia"/>
        </w:rPr>
        <w:t>法律</w:t>
      </w:r>
      <w:r>
        <w:rPr>
          <w:rFonts w:hint="eastAsia" w:asciiTheme="minorEastAsia" w:hAnsiTheme="minorEastAsia" w:eastAsiaTheme="minorEastAsia"/>
        </w:rPr>
        <w:t>、</w:t>
      </w:r>
      <w:r>
        <w:rPr>
          <w:rFonts w:asciiTheme="minorEastAsia" w:hAnsiTheme="minorEastAsia" w:eastAsiaTheme="minorEastAsia"/>
        </w:rPr>
        <w:t>法规允许的其他</w:t>
      </w:r>
      <w:r>
        <w:rPr>
          <w:rFonts w:hint="eastAsia" w:asciiTheme="minorEastAsia" w:hAnsiTheme="minorEastAsia" w:eastAsiaTheme="minorEastAsia"/>
        </w:rPr>
        <w:t>评审</w:t>
      </w:r>
      <w:r>
        <w:rPr>
          <w:rFonts w:asciiTheme="minorEastAsia" w:hAnsiTheme="minorEastAsia" w:eastAsiaTheme="minorEastAsia"/>
        </w:rPr>
        <w:t>方法</w:t>
      </w:r>
      <w:r>
        <w:rPr>
          <w:rFonts w:hint="eastAsia" w:asciiTheme="minorEastAsia" w:hAnsiTheme="minorEastAsia" w:eastAsiaTheme="minorEastAsia"/>
        </w:rPr>
        <w:t>。</w:t>
      </w:r>
      <w:bookmarkStart w:id="906" w:name="_Toc447188702"/>
      <w:bookmarkStart w:id="907" w:name="_Toc447265254"/>
      <w:bookmarkStart w:id="908" w:name="_Toc447265540"/>
      <w:bookmarkStart w:id="909" w:name="_Toc247085724"/>
      <w:bookmarkStart w:id="910" w:name="_Toc179632584"/>
      <w:bookmarkStart w:id="911" w:name="_Toc144974534"/>
      <w:bookmarkStart w:id="912" w:name="_Toc296602455"/>
      <w:bookmarkStart w:id="913" w:name="_Toc152042342"/>
      <w:bookmarkStart w:id="914" w:name="_Toc152045566"/>
      <w:bookmarkStart w:id="915" w:name="_Toc246996953"/>
      <w:bookmarkStart w:id="916" w:name="_Toc246996210"/>
    </w:p>
    <w:p w14:paraId="546A9B3B">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17" w:name="_Toc25585"/>
      <w:bookmarkStart w:id="918" w:name="_Toc32711"/>
      <w:bookmarkStart w:id="919" w:name="_Toc16518"/>
      <w:bookmarkStart w:id="920" w:name="_Toc7649"/>
      <w:bookmarkStart w:id="921" w:name="_Toc2116"/>
      <w:bookmarkStart w:id="922" w:name="_Toc5979"/>
      <w:bookmarkStart w:id="923" w:name="_Toc450489313"/>
      <w:bookmarkStart w:id="924" w:name="_Toc17382"/>
      <w:bookmarkStart w:id="925" w:name="_Toc12682"/>
      <w:bookmarkStart w:id="926" w:name="_Toc26699"/>
      <w:bookmarkStart w:id="927" w:name="_Toc17367"/>
      <w:bookmarkStart w:id="928" w:name="_Toc19109"/>
      <w:bookmarkStart w:id="929" w:name="_Toc11045"/>
      <w:bookmarkStart w:id="930" w:name="_Toc30700"/>
      <w:bookmarkStart w:id="931" w:name="_Toc31543"/>
      <w:bookmarkStart w:id="932" w:name="_Toc20107"/>
      <w:bookmarkStart w:id="933" w:name="_Toc8270"/>
      <w:r>
        <w:rPr>
          <w:rFonts w:hint="eastAsia" w:asciiTheme="minorEastAsia" w:hAnsiTheme="minorEastAsia" w:eastAsiaTheme="minorEastAsia"/>
          <w:sz w:val="24"/>
          <w:szCs w:val="24"/>
        </w:rPr>
        <w:t>6.4成交候选人推荐原则</w:t>
      </w:r>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p>
    <w:p w14:paraId="18D20F43">
      <w:pPr>
        <w:ind w:firstLine="420" w:firstLineChars="200"/>
        <w:rPr>
          <w:rFonts w:asciiTheme="minorEastAsia" w:hAnsiTheme="minorEastAsia" w:eastAsiaTheme="minorEastAsia"/>
        </w:rPr>
      </w:pPr>
      <w:r>
        <w:rPr>
          <w:rFonts w:hint="eastAsia" w:asciiTheme="minorEastAsia" w:hAnsiTheme="minorEastAsia" w:eastAsiaTheme="minorEastAsia"/>
        </w:rPr>
        <w:t>评审委员会应当根据询比文件载明的规则推荐成交候选人，具体推荐原则见供应商须知前附表。</w:t>
      </w:r>
    </w:p>
    <w:p w14:paraId="4DA0353C">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34" w:name="_Toc17039"/>
      <w:bookmarkStart w:id="935" w:name="_Toc23124"/>
      <w:bookmarkStart w:id="936" w:name="_Toc981"/>
      <w:bookmarkStart w:id="937" w:name="_Toc21680"/>
      <w:bookmarkStart w:id="938" w:name="_Toc19252"/>
      <w:bookmarkStart w:id="939" w:name="_Toc18604"/>
      <w:bookmarkStart w:id="940" w:name="_Toc11170"/>
      <w:bookmarkStart w:id="941" w:name="_Toc18558"/>
      <w:bookmarkStart w:id="942" w:name="_Toc16772"/>
      <w:bookmarkStart w:id="943" w:name="_Toc22769"/>
      <w:bookmarkStart w:id="944" w:name="_Toc9407"/>
      <w:bookmarkStart w:id="945" w:name="_Toc450489314"/>
      <w:bookmarkStart w:id="946" w:name="_Toc11015"/>
      <w:bookmarkStart w:id="947" w:name="_Toc29220"/>
      <w:bookmarkStart w:id="948" w:name="_Toc16279"/>
      <w:bookmarkStart w:id="949" w:name="_Toc12054"/>
      <w:bookmarkStart w:id="950" w:name="_Toc6212"/>
      <w:r>
        <w:rPr>
          <w:rFonts w:hint="eastAsia" w:asciiTheme="minorEastAsia" w:hAnsiTheme="minorEastAsia" w:eastAsiaTheme="minorEastAsia"/>
          <w:sz w:val="24"/>
          <w:szCs w:val="24"/>
        </w:rPr>
        <w:t>6.5评审报告</w:t>
      </w:r>
      <w:bookmarkEnd w:id="906"/>
      <w:bookmarkEnd w:id="907"/>
      <w:bookmarkEnd w:id="908"/>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16272BF8">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评审完成后，评审委员会应当根据《中国电信集团询比采购管理办法》的有关规定及时向采购人提交评审报告和成交候选人名单。</w:t>
      </w:r>
    </w:p>
    <w:bookmarkEnd w:id="852"/>
    <w:bookmarkEnd w:id="853"/>
    <w:bookmarkEnd w:id="854"/>
    <w:bookmarkEnd w:id="909"/>
    <w:bookmarkEnd w:id="910"/>
    <w:bookmarkEnd w:id="911"/>
    <w:bookmarkEnd w:id="912"/>
    <w:bookmarkEnd w:id="913"/>
    <w:bookmarkEnd w:id="914"/>
    <w:bookmarkEnd w:id="915"/>
    <w:bookmarkEnd w:id="916"/>
    <w:p w14:paraId="77CE9584">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951" w:name="_Toc31209"/>
      <w:bookmarkStart w:id="952" w:name="_Toc25531"/>
      <w:bookmarkStart w:id="953" w:name="_Toc4649"/>
      <w:bookmarkStart w:id="954" w:name="_Toc29201"/>
      <w:bookmarkStart w:id="955" w:name="_Toc7266"/>
      <w:bookmarkStart w:id="956" w:name="_Toc18809"/>
      <w:bookmarkStart w:id="957" w:name="_Toc7942"/>
      <w:bookmarkStart w:id="958" w:name="_Toc20719"/>
      <w:bookmarkStart w:id="959" w:name="_Toc32258"/>
      <w:bookmarkStart w:id="960" w:name="_Toc15656"/>
      <w:bookmarkStart w:id="961" w:name="_Toc21949"/>
      <w:bookmarkStart w:id="962" w:name="_Toc24597"/>
      <w:bookmarkStart w:id="963" w:name="_Toc30618"/>
      <w:bookmarkStart w:id="964" w:name="_Toc1499"/>
      <w:bookmarkStart w:id="965" w:name="_Toc5957"/>
      <w:r>
        <w:rPr>
          <w:rFonts w:hint="eastAsia" w:asciiTheme="minorEastAsia" w:hAnsiTheme="minorEastAsia" w:eastAsiaTheme="minorEastAsia"/>
          <w:sz w:val="28"/>
          <w:szCs w:val="28"/>
        </w:rPr>
        <w:t>成交</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p>
    <w:bookmarkEnd w:id="855"/>
    <w:bookmarkEnd w:id="856"/>
    <w:bookmarkEnd w:id="857"/>
    <w:bookmarkEnd w:id="858"/>
    <w:p w14:paraId="4B4AF3A5">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66" w:name="_Toc15298"/>
      <w:bookmarkStart w:id="967" w:name="_Toc15919"/>
      <w:bookmarkStart w:id="968" w:name="_Toc12470"/>
      <w:bookmarkStart w:id="969" w:name="_Toc11132"/>
      <w:bookmarkStart w:id="970" w:name="_Toc15946"/>
      <w:bookmarkStart w:id="971" w:name="_Toc5854"/>
      <w:bookmarkStart w:id="972" w:name="_Toc26381"/>
      <w:bookmarkStart w:id="973" w:name="_Toc16593"/>
      <w:bookmarkStart w:id="974" w:name="_Toc13242"/>
      <w:bookmarkStart w:id="975" w:name="_Toc25965"/>
      <w:bookmarkStart w:id="976" w:name="_Toc1074"/>
      <w:bookmarkStart w:id="977" w:name="_Toc10111"/>
      <w:bookmarkStart w:id="978" w:name="_Toc0"/>
      <w:bookmarkStart w:id="979" w:name="_Toc8564"/>
      <w:bookmarkStart w:id="980" w:name="_Toc15589"/>
      <w:bookmarkStart w:id="981" w:name="_Toc31051"/>
      <w:bookmarkStart w:id="982" w:name="_Toc450489317"/>
      <w:bookmarkStart w:id="983" w:name="_Toc447265543"/>
      <w:bookmarkStart w:id="984" w:name="_Toc447188705"/>
      <w:bookmarkStart w:id="985" w:name="_Toc447265257"/>
      <w:bookmarkStart w:id="986" w:name="_Toc447265545"/>
      <w:bookmarkStart w:id="987" w:name="_Toc447265259"/>
      <w:bookmarkStart w:id="988" w:name="_Toc152042345"/>
      <w:bookmarkStart w:id="989" w:name="_Toc296602459"/>
      <w:bookmarkStart w:id="990" w:name="_Toc144974537"/>
      <w:bookmarkStart w:id="991" w:name="_Toc152045569"/>
      <w:bookmarkStart w:id="992" w:name="_Toc246996956"/>
      <w:bookmarkStart w:id="993" w:name="_Toc179632587"/>
      <w:bookmarkStart w:id="994" w:name="_Toc247085727"/>
      <w:bookmarkStart w:id="995" w:name="_Toc246996213"/>
      <w:bookmarkStart w:id="996" w:name="_Toc227057916"/>
      <w:bookmarkStart w:id="997" w:name="_Toc226969310"/>
      <w:bookmarkStart w:id="998" w:name="_Toc107822517"/>
      <w:r>
        <w:rPr>
          <w:rFonts w:hint="eastAsia" w:asciiTheme="minorEastAsia" w:hAnsiTheme="minorEastAsia" w:eastAsiaTheme="minorEastAsia"/>
          <w:sz w:val="24"/>
          <w:szCs w:val="24"/>
        </w:rPr>
        <w:t>7.1成交候选人公示</w:t>
      </w:r>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p>
    <w:p w14:paraId="1571E32D">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1</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采用公开询比方式的，在“资格预审公告”或者“询比公告”发布媒介公示全部成交候选人，公示期不少于3日。</w:t>
      </w:r>
    </w:p>
    <w:p w14:paraId="4D24EDD8">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1</w:t>
      </w:r>
      <w:r>
        <w:rPr>
          <w:rFonts w:asciiTheme="minorEastAsia" w:hAnsiTheme="minorEastAsia" w:eastAsiaTheme="minorEastAsia"/>
          <w:color w:val="000000" w:themeColor="text1"/>
          <w14:textFill>
            <w14:solidFill>
              <w14:schemeClr w14:val="tx1"/>
            </w14:solidFill>
          </w14:textFill>
        </w:rPr>
        <w:t>.</w:t>
      </w:r>
      <w:r>
        <w:rPr>
          <w:rFonts w:hint="eastAsia" w:asciiTheme="minorEastAsia" w:hAnsiTheme="minorEastAsia" w:eastAsiaTheme="minorEastAsia"/>
          <w:color w:val="000000" w:themeColor="text1"/>
          <w14:textFill>
            <w14:solidFill>
              <w14:schemeClr w14:val="tx1"/>
            </w14:solidFill>
          </w14:textFill>
        </w:rPr>
        <w:t>2 响应供应商或者其他利害关系人对询比项目的评审结果有异议的，应当在成交候选人公示期间提出。</w:t>
      </w:r>
    </w:p>
    <w:p w14:paraId="588DD837">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999" w:name="_Toc18209"/>
      <w:bookmarkStart w:id="1000" w:name="_Toc5357"/>
      <w:bookmarkStart w:id="1001" w:name="_Toc2346"/>
      <w:bookmarkStart w:id="1002" w:name="_Toc5873"/>
      <w:bookmarkStart w:id="1003" w:name="_Toc28824"/>
      <w:bookmarkStart w:id="1004" w:name="_Toc18504"/>
      <w:bookmarkStart w:id="1005" w:name="_Toc7033"/>
      <w:bookmarkStart w:id="1006" w:name="_Toc20776"/>
      <w:bookmarkStart w:id="1007" w:name="_Toc1295"/>
      <w:bookmarkStart w:id="1008" w:name="_Toc4783"/>
      <w:bookmarkStart w:id="1009" w:name="_Toc29086"/>
      <w:bookmarkStart w:id="1010" w:name="_Toc28301"/>
      <w:bookmarkStart w:id="1011" w:name="_Toc7986"/>
      <w:bookmarkStart w:id="1012" w:name="_Toc25548"/>
      <w:bookmarkStart w:id="1013" w:name="_Toc23002"/>
      <w:bookmarkStart w:id="1014" w:name="_Toc14251"/>
      <w:r>
        <w:rPr>
          <w:rFonts w:hint="eastAsia" w:asciiTheme="minorEastAsia" w:hAnsiTheme="minorEastAsia" w:eastAsiaTheme="minorEastAsia"/>
          <w:sz w:val="24"/>
          <w:szCs w:val="24"/>
        </w:rPr>
        <w:t>7.2确定</w:t>
      </w:r>
      <w:bookmarkEnd w:id="982"/>
      <w:bookmarkEnd w:id="983"/>
      <w:bookmarkEnd w:id="984"/>
      <w:bookmarkEnd w:id="985"/>
      <w:bookmarkEnd w:id="999"/>
      <w:r>
        <w:rPr>
          <w:rFonts w:hint="eastAsia" w:asciiTheme="minorEastAsia" w:hAnsiTheme="minorEastAsia" w:eastAsiaTheme="minorEastAsia"/>
          <w:sz w:val="24"/>
          <w:szCs w:val="24"/>
        </w:rPr>
        <w:t>成交供应商</w:t>
      </w:r>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p>
    <w:p w14:paraId="54AC9D4E">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.1</w:t>
      </w:r>
      <w:r>
        <w:rPr>
          <w:rFonts w:hint="eastAsia" w:asciiTheme="minorEastAsia" w:hAnsiTheme="minorEastAsia" w:eastAsiaTheme="minorEastAsia"/>
          <w:color w:val="000000" w:themeColor="text1"/>
          <w14:textFill>
            <w14:solidFill>
              <w14:schemeClr w14:val="tx1"/>
            </w14:solidFill>
          </w14:textFill>
        </w:rPr>
        <w:t>采购人依据评审委员会推荐的成交候选人确定成交供应商，成交供应商数量见供应商须知前附表。</w:t>
      </w:r>
    </w:p>
    <w:p w14:paraId="7D1BA5AE">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.2</w:t>
      </w:r>
      <w:r>
        <w:rPr>
          <w:rFonts w:hint="eastAsia" w:asciiTheme="minorEastAsia" w:hAnsiTheme="minorEastAsia" w:eastAsiaTheme="minorEastAsia"/>
          <w:color w:val="000000" w:themeColor="text1"/>
          <w14:textFill>
            <w14:solidFill>
              <w14:schemeClr w14:val="tx1"/>
            </w14:solidFill>
          </w14:textFill>
        </w:rPr>
        <w:t>采购人根据评审委员会推荐的成交候选人名单排序依次确定成交供应商，具体成交原则见供应商须知前附表。</w:t>
      </w:r>
    </w:p>
    <w:p w14:paraId="28AFF714">
      <w:pPr>
        <w:pStyle w:val="21"/>
        <w:tabs>
          <w:tab w:val="left" w:pos="630"/>
        </w:tabs>
        <w:snapToGrid w:val="0"/>
        <w:spacing w:line="440" w:lineRule="exact"/>
        <w:ind w:firstLine="424" w:firstLineChars="202"/>
        <w:rPr>
          <w:rFonts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7.</w:t>
      </w:r>
      <w:r>
        <w:rPr>
          <w:rFonts w:hint="eastAsia" w:asciiTheme="minorEastAsia" w:hAnsiTheme="minorEastAsia" w:eastAsiaTheme="minorEastAsia"/>
          <w:color w:val="000000" w:themeColor="text1"/>
          <w14:textFill>
            <w14:solidFill>
              <w14:schemeClr w14:val="tx1"/>
            </w14:solidFill>
          </w14:textFill>
        </w:rPr>
        <w:t>2</w:t>
      </w:r>
      <w:r>
        <w:rPr>
          <w:rFonts w:asciiTheme="minorEastAsia" w:hAnsiTheme="minorEastAsia" w:eastAsiaTheme="minorEastAsia"/>
          <w:color w:val="000000" w:themeColor="text1"/>
          <w14:textFill>
            <w14:solidFill>
              <w14:schemeClr w14:val="tx1"/>
            </w14:solidFill>
          </w14:textFill>
        </w:rPr>
        <w:t>.3在签订合同之前</w:t>
      </w:r>
      <w:r>
        <w:rPr>
          <w:rFonts w:hint="eastAsia" w:asciiTheme="minorEastAsia" w:hAnsiTheme="minorEastAsia" w:eastAsiaTheme="minorEastAsia"/>
          <w:color w:val="000000" w:themeColor="text1"/>
          <w14:textFill>
            <w14:solidFill>
              <w14:schemeClr w14:val="tx1"/>
            </w14:solidFill>
          </w14:textFill>
        </w:rPr>
        <w:t>，排名第一或排名靠前的成交候选人存在放弃成交、因不可抗力提出不能履行合同、不按照询比文件要求提交履约保证金、被查实存在影响成交结果的违法行为、按照中国电信供应商不良行为处理结果及《中国电信供应商不良行为管理规则》的结果执行规则执行禁止采购处理措施、未通过网络安全审查等不符合成交条件情形的，采购人可以按评审委员会提出的排名顺序依次确定其他成交候选人为成交供应商，或重新询比。集中询比的，也可以对成交供应商的成交份额进行调整，但应当在询比文件中载明调整规则。</w:t>
      </w:r>
      <w:r>
        <w:rPr>
          <w:rFonts w:hint="eastAsia" w:asciiTheme="minorEastAsia" w:hAnsiTheme="minorEastAsia" w:eastAsiaTheme="minorEastAsia"/>
        </w:rPr>
        <w:t>具体处理规则见供应商须知前附表</w:t>
      </w:r>
      <w:r>
        <w:rPr>
          <w:rFonts w:hint="eastAsia" w:asciiTheme="minorEastAsia" w:hAnsiTheme="minorEastAsia" w:eastAsiaTheme="minorEastAsia"/>
          <w:color w:val="000000" w:themeColor="text1"/>
          <w14:textFill>
            <w14:solidFill>
              <w14:schemeClr w14:val="tx1"/>
            </w14:solidFill>
          </w14:textFill>
        </w:rPr>
        <w:t>。</w:t>
      </w:r>
    </w:p>
    <w:p w14:paraId="6B6D856E">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15" w:name="_Toc22336"/>
      <w:bookmarkStart w:id="1016" w:name="_Toc8678"/>
      <w:bookmarkStart w:id="1017" w:name="_Toc14745"/>
      <w:bookmarkStart w:id="1018" w:name="_Toc8945"/>
      <w:bookmarkStart w:id="1019" w:name="_Toc21293"/>
      <w:bookmarkStart w:id="1020" w:name="_Toc3370"/>
      <w:bookmarkStart w:id="1021" w:name="_Toc32318"/>
      <w:bookmarkStart w:id="1022" w:name="_Toc8458"/>
      <w:bookmarkStart w:id="1023" w:name="_Toc25229"/>
      <w:bookmarkStart w:id="1024" w:name="_Toc10881"/>
      <w:bookmarkStart w:id="1025" w:name="_Toc31173"/>
      <w:bookmarkStart w:id="1026" w:name="_Toc14168"/>
      <w:bookmarkStart w:id="1027" w:name="_Toc28897"/>
      <w:bookmarkStart w:id="1028" w:name="_Toc23062"/>
      <w:bookmarkStart w:id="1029" w:name="_Toc14870"/>
      <w:bookmarkStart w:id="1030" w:name="_Toc23879"/>
      <w:bookmarkStart w:id="1031" w:name="_Toc246996212"/>
      <w:bookmarkStart w:id="1032" w:name="_Toc447265544"/>
      <w:bookmarkStart w:id="1033" w:name="_Toc450489318"/>
      <w:bookmarkStart w:id="1034" w:name="_Toc152042344"/>
      <w:bookmarkStart w:id="1035" w:name="_Toc296602458"/>
      <w:bookmarkStart w:id="1036" w:name="_Toc447265258"/>
      <w:bookmarkStart w:id="1037" w:name="_Toc247085726"/>
      <w:bookmarkStart w:id="1038" w:name="_Toc152045568"/>
      <w:bookmarkStart w:id="1039" w:name="_Toc144974536"/>
      <w:bookmarkStart w:id="1040" w:name="_Toc179632586"/>
      <w:bookmarkStart w:id="1041" w:name="_Toc246996955"/>
      <w:bookmarkStart w:id="1042" w:name="OLE_LINK6"/>
      <w:bookmarkStart w:id="1043" w:name="OLE_LINK7"/>
      <w:r>
        <w:rPr>
          <w:rFonts w:hint="eastAsia" w:asciiTheme="minorEastAsia" w:hAnsiTheme="minorEastAsia" w:eastAsiaTheme="minorEastAsia"/>
          <w:sz w:val="24"/>
          <w:szCs w:val="24"/>
        </w:rPr>
        <w:t>7.3询比结果公示</w:t>
      </w:r>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p>
    <w:p w14:paraId="63A4C778">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color w:val="000000" w:themeColor="text1"/>
          <w14:textFill>
            <w14:solidFill>
              <w14:schemeClr w14:val="tx1"/>
            </w14:solidFill>
          </w14:textFill>
        </w:rPr>
        <w:t>采用公开询比方式的，</w:t>
      </w:r>
      <w:r>
        <w:rPr>
          <w:rFonts w:hint="eastAsia" w:asciiTheme="minorEastAsia" w:hAnsiTheme="minorEastAsia" w:eastAsiaTheme="minorEastAsia"/>
        </w:rPr>
        <w:t>采购人将</w:t>
      </w:r>
      <w:r>
        <w:rPr>
          <w:rFonts w:asciiTheme="minorEastAsia" w:hAnsiTheme="minorEastAsia" w:eastAsiaTheme="minorEastAsia"/>
        </w:rPr>
        <w:t>在“资格预审公告”或者“</w:t>
      </w:r>
      <w:r>
        <w:rPr>
          <w:rFonts w:hint="eastAsia" w:asciiTheme="minorEastAsia" w:hAnsiTheme="minorEastAsia" w:eastAsiaTheme="minorEastAsia"/>
        </w:rPr>
        <w:t>询比公告</w:t>
      </w:r>
      <w:r>
        <w:rPr>
          <w:rFonts w:asciiTheme="minorEastAsia" w:hAnsiTheme="minorEastAsia" w:eastAsiaTheme="minorEastAsia"/>
        </w:rPr>
        <w:t>”发布媒介公示全部</w:t>
      </w:r>
      <w:r>
        <w:rPr>
          <w:rFonts w:hint="eastAsia" w:asciiTheme="minorEastAsia" w:hAnsiTheme="minorEastAsia" w:eastAsiaTheme="minorEastAsia"/>
        </w:rPr>
        <w:t>成交供应商</w:t>
      </w:r>
      <w:r>
        <w:rPr>
          <w:rFonts w:asciiTheme="minorEastAsia" w:hAnsiTheme="minorEastAsia" w:eastAsiaTheme="minorEastAsia"/>
        </w:rPr>
        <w:t>。</w:t>
      </w:r>
    </w:p>
    <w:p w14:paraId="66DDC11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44" w:name="_Toc25774"/>
      <w:bookmarkStart w:id="1045" w:name="_Toc3364"/>
      <w:bookmarkStart w:id="1046" w:name="_Toc3040"/>
      <w:bookmarkStart w:id="1047" w:name="_Toc21388"/>
      <w:bookmarkStart w:id="1048" w:name="_Toc19062"/>
      <w:bookmarkStart w:id="1049" w:name="_Toc30976"/>
      <w:bookmarkStart w:id="1050" w:name="_Toc16768"/>
      <w:bookmarkStart w:id="1051" w:name="_Toc12955"/>
      <w:bookmarkStart w:id="1052" w:name="_Toc8956"/>
      <w:bookmarkStart w:id="1053" w:name="_Toc29490"/>
      <w:bookmarkStart w:id="1054" w:name="_Toc20204"/>
      <w:bookmarkStart w:id="1055" w:name="_Toc22853"/>
      <w:bookmarkStart w:id="1056" w:name="_Toc25444"/>
      <w:bookmarkStart w:id="1057" w:name="_Toc32295"/>
      <w:bookmarkStart w:id="1058" w:name="_Toc7537"/>
      <w:bookmarkStart w:id="1059" w:name="_Toc7020"/>
      <w:r>
        <w:rPr>
          <w:rFonts w:hint="eastAsia" w:asciiTheme="minorEastAsia" w:hAnsiTheme="minorEastAsia" w:eastAsiaTheme="minorEastAsia"/>
          <w:sz w:val="24"/>
          <w:szCs w:val="24"/>
        </w:rPr>
        <w:t>7.4 成交通知</w:t>
      </w:r>
      <w:bookmarkEnd w:id="1031"/>
      <w:bookmarkEnd w:id="1032"/>
      <w:bookmarkEnd w:id="1033"/>
      <w:bookmarkEnd w:id="1034"/>
      <w:bookmarkEnd w:id="1035"/>
      <w:bookmarkEnd w:id="1036"/>
      <w:bookmarkEnd w:id="1037"/>
      <w:bookmarkEnd w:id="1038"/>
      <w:bookmarkEnd w:id="1039"/>
      <w:bookmarkEnd w:id="1040"/>
      <w:bookmarkEnd w:id="1041"/>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p>
    <w:p w14:paraId="64465B10">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7.4.1在成交通知书发出前，成交候选人的经营、财务状况发生较大变化或者存在违法行为，可能影响其履约能力的，供应商应当主动告知采购人。</w:t>
      </w:r>
      <w:bookmarkEnd w:id="1042"/>
      <w:bookmarkEnd w:id="1043"/>
    </w:p>
    <w:p w14:paraId="7A20535E">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7.4.2成交供应商确定后，采购人应当自行或者委托采购代理机构向成交供应商发出成交通知书，同时通知未成交供应商。</w:t>
      </w:r>
    </w:p>
    <w:p w14:paraId="452B4631">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4</w:t>
      </w:r>
      <w:r>
        <w:rPr>
          <w:rFonts w:asciiTheme="minorEastAsia" w:hAnsiTheme="minorEastAsia" w:eastAsiaTheme="minorEastAsia"/>
        </w:rPr>
        <w:t>.3</w:t>
      </w:r>
      <w:r>
        <w:rPr>
          <w:rFonts w:hint="eastAsia" w:asciiTheme="minorEastAsia" w:hAnsiTheme="minorEastAsia" w:eastAsiaTheme="minorEastAsia"/>
        </w:rPr>
        <w:t>成交通知书是询比采购档案和合同的组成部分。</w:t>
      </w:r>
    </w:p>
    <w:p w14:paraId="2830A82F">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7.</w:t>
      </w:r>
      <w:r>
        <w:rPr>
          <w:rFonts w:hint="eastAsia" w:asciiTheme="minorEastAsia" w:hAnsiTheme="minorEastAsia" w:eastAsiaTheme="minorEastAsia"/>
        </w:rPr>
        <w:t>4</w:t>
      </w:r>
      <w:r>
        <w:rPr>
          <w:rFonts w:asciiTheme="minorEastAsia" w:hAnsiTheme="minorEastAsia" w:eastAsiaTheme="minorEastAsia"/>
        </w:rPr>
        <w:t>.4</w:t>
      </w:r>
      <w:r>
        <w:rPr>
          <w:rFonts w:hint="eastAsia" w:asciiTheme="minorEastAsia" w:hAnsiTheme="minorEastAsia" w:eastAsiaTheme="minorEastAsia"/>
        </w:rPr>
        <w:t>成交通知书对采购人和成交供应商具有法律约束力。成交通知书发出后，采购人改变成交结果或者成交供应商放弃成交的，应当承担法律责任。</w:t>
      </w:r>
    </w:p>
    <w:p w14:paraId="6DB0D981">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1060" w:name="_Toc9074"/>
      <w:bookmarkStart w:id="1061" w:name="_Toc16329"/>
      <w:bookmarkStart w:id="1062" w:name="_Toc17983"/>
      <w:bookmarkStart w:id="1063" w:name="_Toc21757"/>
      <w:bookmarkStart w:id="1064" w:name="_Toc13972"/>
      <w:bookmarkStart w:id="1065" w:name="_Toc13974"/>
      <w:bookmarkStart w:id="1066" w:name="_Toc18016"/>
      <w:bookmarkStart w:id="1067" w:name="_Toc5534"/>
      <w:bookmarkStart w:id="1068" w:name="_Toc924"/>
      <w:bookmarkStart w:id="1069" w:name="_Toc30705"/>
      <w:bookmarkStart w:id="1070" w:name="_Toc19788"/>
      <w:bookmarkStart w:id="1071" w:name="_Toc17682"/>
      <w:bookmarkStart w:id="1072" w:name="_Toc12792"/>
      <w:bookmarkStart w:id="1073" w:name="_Toc28289"/>
      <w:bookmarkStart w:id="1074" w:name="_Toc32187"/>
      <w:bookmarkStart w:id="1075" w:name="_Toc9006"/>
      <w:r>
        <w:rPr>
          <w:rFonts w:hint="eastAsia" w:asciiTheme="minorEastAsia" w:hAnsiTheme="minorEastAsia" w:eastAsiaTheme="minorEastAsia"/>
          <w:sz w:val="28"/>
          <w:szCs w:val="28"/>
        </w:rPr>
        <w:t>合同签订</w:t>
      </w:r>
      <w:bookmarkEnd w:id="986"/>
      <w:bookmarkEnd w:id="987"/>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p>
    <w:p w14:paraId="3495202D">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076" w:name="_Toc14285"/>
      <w:bookmarkStart w:id="1077" w:name="_Toc447265546"/>
      <w:bookmarkStart w:id="1078" w:name="_Toc23748"/>
      <w:bookmarkStart w:id="1079" w:name="_Toc7303"/>
      <w:bookmarkStart w:id="1080" w:name="_Toc18072"/>
      <w:bookmarkStart w:id="1081" w:name="_Toc25889"/>
      <w:bookmarkStart w:id="1082" w:name="_Toc6511"/>
      <w:bookmarkStart w:id="1083" w:name="_Toc9589"/>
      <w:bookmarkStart w:id="1084" w:name="_Toc25675"/>
      <w:bookmarkStart w:id="1085" w:name="_Toc11634"/>
      <w:bookmarkStart w:id="1086" w:name="_Toc11530"/>
      <w:bookmarkStart w:id="1087" w:name="_Toc376"/>
      <w:bookmarkStart w:id="1088" w:name="_Toc21185"/>
      <w:bookmarkStart w:id="1089" w:name="_Toc447265260"/>
      <w:bookmarkStart w:id="1090" w:name="_Toc2220"/>
      <w:bookmarkStart w:id="1091" w:name="_Toc31235"/>
      <w:bookmarkStart w:id="1092" w:name="_Toc4248"/>
      <w:bookmarkStart w:id="1093" w:name="_Toc590"/>
      <w:r>
        <w:rPr>
          <w:rFonts w:hint="eastAsia" w:asciiTheme="minorEastAsia" w:hAnsiTheme="minorEastAsia" w:eastAsiaTheme="minorEastAsia"/>
          <w:sz w:val="24"/>
          <w:szCs w:val="24"/>
        </w:rPr>
        <w:t>8.1履约</w:t>
      </w:r>
      <w:bookmarkEnd w:id="988"/>
      <w:bookmarkEnd w:id="989"/>
      <w:bookmarkEnd w:id="990"/>
      <w:bookmarkEnd w:id="991"/>
      <w:bookmarkEnd w:id="992"/>
      <w:bookmarkEnd w:id="993"/>
      <w:bookmarkEnd w:id="994"/>
      <w:bookmarkEnd w:id="995"/>
      <w:r>
        <w:rPr>
          <w:rFonts w:hint="eastAsia" w:asciiTheme="minorEastAsia" w:hAnsiTheme="minorEastAsia" w:eastAsiaTheme="minorEastAsia"/>
          <w:sz w:val="24"/>
          <w:szCs w:val="24"/>
        </w:rPr>
        <w:t>保证金</w:t>
      </w:r>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p>
    <w:bookmarkEnd w:id="996"/>
    <w:bookmarkEnd w:id="997"/>
    <w:bookmarkEnd w:id="998"/>
    <w:p w14:paraId="580030FE">
      <w:pPr>
        <w:pStyle w:val="21"/>
        <w:tabs>
          <w:tab w:val="left" w:pos="630"/>
        </w:tabs>
        <w:snapToGrid w:val="0"/>
        <w:spacing w:line="440" w:lineRule="exact"/>
        <w:ind w:firstLine="424" w:firstLineChars="202"/>
        <w:rPr>
          <w:rFonts w:asciiTheme="minorEastAsia" w:hAnsiTheme="minorEastAsia" w:eastAsiaTheme="minorEastAsia"/>
        </w:rPr>
      </w:pPr>
      <w:bookmarkStart w:id="1094" w:name="_Toc488655867"/>
      <w:bookmarkStart w:id="1095" w:name="_Toc447265549"/>
      <w:bookmarkStart w:id="1096" w:name="_Toc447188707"/>
      <w:bookmarkStart w:id="1097" w:name="_Toc107822519"/>
      <w:bookmarkStart w:id="1098" w:name="_Toc227057918"/>
      <w:bookmarkStart w:id="1099" w:name="_Toc226969312"/>
      <w:bookmarkStart w:id="1100" w:name="_Toc447265263"/>
      <w:r>
        <w:rPr>
          <w:rFonts w:hint="eastAsia" w:asciiTheme="minorEastAsia" w:hAnsiTheme="minorEastAsia" w:eastAsiaTheme="minorEastAsia"/>
        </w:rPr>
        <w:t>8.1.1在签订合同前，成交供应商应当按照“供应商须知前附表”中规定的履约保证金的金额和形式向采购人递交履约保证金。</w:t>
      </w:r>
    </w:p>
    <w:p w14:paraId="1A646787">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8.1.2</w:t>
      </w:r>
      <w:r>
        <w:rPr>
          <w:rFonts w:hint="eastAsia" w:asciiTheme="minorEastAsia" w:hAnsiTheme="minorEastAsia" w:eastAsiaTheme="minorEastAsia"/>
        </w:rPr>
        <w:t>成交供应商不能按照询比文件要求递交履约保证金的，视为放弃成交，其响应保证金不予退还，给采购人造成的损失超过响应保证金数额的，成交供应商还应当对超过部分予以赔偿。</w:t>
      </w:r>
    </w:p>
    <w:p w14:paraId="18E4650F">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101" w:name="_Toc945"/>
      <w:bookmarkStart w:id="1102" w:name="_Toc8034"/>
      <w:bookmarkStart w:id="1103" w:name="_Toc5478"/>
      <w:bookmarkStart w:id="1104" w:name="_Toc10458"/>
      <w:bookmarkStart w:id="1105" w:name="_Toc9578"/>
      <w:bookmarkStart w:id="1106" w:name="_Toc447265547"/>
      <w:bookmarkStart w:id="1107" w:name="_Toc5256"/>
      <w:bookmarkStart w:id="1108" w:name="_Toc914"/>
      <w:bookmarkStart w:id="1109" w:name="_Toc25344"/>
      <w:bookmarkStart w:id="1110" w:name="_Toc31961"/>
      <w:bookmarkStart w:id="1111" w:name="_Toc29401"/>
      <w:bookmarkStart w:id="1112" w:name="_Toc25290"/>
      <w:bookmarkStart w:id="1113" w:name="_Toc447265261"/>
      <w:bookmarkStart w:id="1114" w:name="_Toc13763"/>
      <w:bookmarkStart w:id="1115" w:name="_Toc27461"/>
      <w:bookmarkStart w:id="1116" w:name="_Toc7234"/>
      <w:bookmarkStart w:id="1117" w:name="_Toc9274"/>
      <w:bookmarkStart w:id="1118" w:name="_Toc1794"/>
      <w:bookmarkStart w:id="1119" w:name="_Toc450489321"/>
      <w:r>
        <w:rPr>
          <w:rFonts w:hint="eastAsia" w:asciiTheme="minorEastAsia" w:hAnsiTheme="minorEastAsia" w:eastAsiaTheme="minorEastAsia"/>
          <w:sz w:val="24"/>
          <w:szCs w:val="24"/>
        </w:rPr>
        <w:t>8.2合同签订</w:t>
      </w:r>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0D05C113">
      <w:pPr>
        <w:pStyle w:val="21"/>
        <w:tabs>
          <w:tab w:val="left" w:pos="630"/>
        </w:tabs>
        <w:snapToGrid w:val="0"/>
        <w:spacing w:line="440" w:lineRule="exact"/>
        <w:ind w:firstLine="424" w:firstLineChars="202"/>
        <w:rPr>
          <w:rFonts w:asciiTheme="minorEastAsia" w:hAnsiTheme="minorEastAsia" w:eastAsiaTheme="minorEastAsia"/>
        </w:rPr>
      </w:pPr>
      <w:r>
        <w:rPr>
          <w:rFonts w:asciiTheme="minorEastAsia" w:hAnsiTheme="minorEastAsia" w:eastAsiaTheme="minorEastAsia"/>
        </w:rPr>
        <w:t>8.2.1</w:t>
      </w:r>
      <w:r>
        <w:rPr>
          <w:rFonts w:hint="eastAsia" w:asciiTheme="minorEastAsia" w:hAnsiTheme="minorEastAsia" w:eastAsiaTheme="minorEastAsia"/>
        </w:rPr>
        <w:t>采购人和成交供应商应当在响应有效期内，根据询比文件和成交供应商的响应文件订立书面合同。采购人和成交供应商不得订立背离合同实质性内容的其他协议。</w:t>
      </w:r>
    </w:p>
    <w:p w14:paraId="30CCBA77">
      <w:pPr>
        <w:pStyle w:val="21"/>
        <w:tabs>
          <w:tab w:val="left" w:pos="630"/>
        </w:tabs>
        <w:snapToGrid w:val="0"/>
        <w:spacing w:line="440" w:lineRule="exact"/>
        <w:ind w:firstLine="424" w:firstLineChars="202"/>
        <w:rPr>
          <w:rFonts w:asciiTheme="minorEastAsia" w:hAnsiTheme="minorEastAsia" w:eastAsiaTheme="minorEastAsia"/>
        </w:rPr>
      </w:pPr>
      <w:r>
        <w:rPr>
          <w:rFonts w:hint="eastAsia" w:asciiTheme="minorEastAsia" w:hAnsiTheme="minorEastAsia" w:eastAsiaTheme="minorEastAsia"/>
        </w:rPr>
        <w:t>8.2.2成交供应商无正当理由拒签合同的，采购人取消其成交资格，其响应保证金不予退还；给采购人造成的损失超过响应保证金数额的，成交供应商还应当对超过部分予以赔偿。</w:t>
      </w:r>
    </w:p>
    <w:bookmarkEnd w:id="1094"/>
    <w:bookmarkEnd w:id="1095"/>
    <w:bookmarkEnd w:id="1096"/>
    <w:bookmarkEnd w:id="1097"/>
    <w:bookmarkEnd w:id="1098"/>
    <w:bookmarkEnd w:id="1099"/>
    <w:bookmarkEnd w:id="1100"/>
    <w:p w14:paraId="391A226D">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1120" w:name="_Toc14855"/>
      <w:bookmarkStart w:id="1121" w:name="_Toc21733"/>
      <w:bookmarkStart w:id="1122" w:name="_Toc20734"/>
      <w:bookmarkStart w:id="1123" w:name="_Toc3758"/>
      <w:bookmarkStart w:id="1124" w:name="_Toc25480"/>
      <w:bookmarkStart w:id="1125" w:name="_Toc9245"/>
      <w:bookmarkStart w:id="1126" w:name="_Toc23411"/>
      <w:bookmarkStart w:id="1127" w:name="_Toc18116"/>
      <w:bookmarkStart w:id="1128" w:name="_Toc29819"/>
      <w:bookmarkStart w:id="1129" w:name="_Toc16209"/>
      <w:bookmarkStart w:id="1130" w:name="_Toc29442"/>
      <w:bookmarkStart w:id="1131" w:name="_Toc8550"/>
      <w:bookmarkStart w:id="1132" w:name="_Toc28033"/>
      <w:bookmarkStart w:id="1133" w:name="_Toc15191"/>
      <w:bookmarkStart w:id="1134" w:name="_Toc13960"/>
      <w:r>
        <w:rPr>
          <w:rFonts w:hint="eastAsia" w:asciiTheme="minorEastAsia" w:hAnsiTheme="minorEastAsia" w:eastAsiaTheme="minorEastAsia"/>
          <w:sz w:val="28"/>
          <w:szCs w:val="28"/>
        </w:rPr>
        <w:t>采购代理服务费</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p>
    <w:p w14:paraId="3AA7761B">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成交供应商应当按照询比文件规定交纳采购代理服务费，采购人和采购代理机构另有约定的从其约定。采购代理服务费的金额、交纳方式和时限见供应商须知前附表。</w:t>
      </w:r>
    </w:p>
    <w:p w14:paraId="456AC0BA">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1135" w:name="_Toc29368"/>
      <w:bookmarkStart w:id="1136" w:name="_Toc22689"/>
      <w:bookmarkStart w:id="1137" w:name="_Toc31010"/>
      <w:bookmarkStart w:id="1138" w:name="_Toc1692"/>
      <w:bookmarkStart w:id="1139" w:name="_Toc447265550"/>
      <w:bookmarkStart w:id="1140" w:name="_Toc5565"/>
      <w:bookmarkStart w:id="1141" w:name="_Toc447265264"/>
      <w:bookmarkStart w:id="1142" w:name="_Toc24447"/>
      <w:bookmarkStart w:id="1143" w:name="_Toc14751"/>
      <w:bookmarkStart w:id="1144" w:name="_Toc19781"/>
      <w:bookmarkStart w:id="1145" w:name="_Toc23088"/>
      <w:bookmarkStart w:id="1146" w:name="_Toc24229"/>
      <w:bookmarkStart w:id="1147" w:name="_Toc296602461"/>
      <w:bookmarkStart w:id="1148" w:name="_Toc28501"/>
      <w:bookmarkStart w:id="1149" w:name="_Toc11446"/>
      <w:bookmarkStart w:id="1150" w:name="_Toc447188708"/>
      <w:bookmarkStart w:id="1151" w:name="_Toc16287"/>
      <w:bookmarkStart w:id="1152" w:name="_Toc18880"/>
      <w:bookmarkStart w:id="1153" w:name="_Toc26226"/>
      <w:bookmarkStart w:id="1154" w:name="_Toc16557"/>
      <w:r>
        <w:rPr>
          <w:rFonts w:hint="eastAsia" w:asciiTheme="minorEastAsia" w:hAnsiTheme="minorEastAsia" w:eastAsiaTheme="minorEastAsia"/>
          <w:sz w:val="28"/>
          <w:szCs w:val="28"/>
        </w:rPr>
        <w:t>纪律和监督</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2B706E0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155" w:name="_Toc30301"/>
      <w:bookmarkStart w:id="1156" w:name="_Toc11694"/>
      <w:bookmarkStart w:id="1157" w:name="_Toc296590983"/>
      <w:bookmarkStart w:id="1158" w:name="_Toc13442"/>
      <w:bookmarkStart w:id="1159" w:name="_Toc152045575"/>
      <w:bookmarkStart w:id="1160" w:name="_Toc7820"/>
      <w:bookmarkStart w:id="1161" w:name="_Toc9956"/>
      <w:bookmarkStart w:id="1162" w:name="_Toc246996962"/>
      <w:bookmarkStart w:id="1163" w:name="_Toc17551"/>
      <w:bookmarkStart w:id="1164" w:name="_Toc179632593"/>
      <w:bookmarkStart w:id="1165" w:name="_Toc152042351"/>
      <w:bookmarkStart w:id="1166" w:name="_Toc447265265"/>
      <w:bookmarkStart w:id="1167" w:name="_Toc10859"/>
      <w:bookmarkStart w:id="1168" w:name="_Toc21472"/>
      <w:bookmarkStart w:id="1169" w:name="_Toc1709"/>
      <w:bookmarkStart w:id="1170" w:name="_Toc27278"/>
      <w:bookmarkStart w:id="1171" w:name="_Toc7626"/>
      <w:bookmarkStart w:id="1172" w:name="_Toc144974543"/>
      <w:bookmarkStart w:id="1173" w:name="_Toc8320"/>
      <w:bookmarkStart w:id="1174" w:name="_Toc24077"/>
      <w:bookmarkStart w:id="1175" w:name="_Toc246996219"/>
      <w:bookmarkStart w:id="1176" w:name="_Toc247085733"/>
      <w:bookmarkStart w:id="1177" w:name="_Toc24375"/>
      <w:bookmarkStart w:id="1178" w:name="_Toc296602462"/>
      <w:bookmarkStart w:id="1179" w:name="_Toc24877"/>
      <w:bookmarkStart w:id="1180" w:name="_Toc31222"/>
      <w:bookmarkStart w:id="1181" w:name="_Toc447265551"/>
      <w:r>
        <w:rPr>
          <w:rFonts w:hint="eastAsia" w:asciiTheme="minorEastAsia" w:hAnsiTheme="minorEastAsia" w:eastAsiaTheme="minorEastAsia"/>
          <w:sz w:val="24"/>
          <w:szCs w:val="24"/>
        </w:rPr>
        <w:t>10.1对采购人的纪律要求</w:t>
      </w:r>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p>
    <w:p w14:paraId="1339967A">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采购人不得泄露采购活动中应当保密的情况和资料，不得与供应商串通损害国家利益、社会公共利益或者他人合法权益。</w:t>
      </w:r>
    </w:p>
    <w:p w14:paraId="234E85F0">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182" w:name="_Toc152042352"/>
      <w:bookmarkStart w:id="1183" w:name="_Toc11149"/>
      <w:bookmarkStart w:id="1184" w:name="_Toc19037"/>
      <w:bookmarkStart w:id="1185" w:name="_Toc28864"/>
      <w:bookmarkStart w:id="1186" w:name="_Toc16166"/>
      <w:bookmarkStart w:id="1187" w:name="_Toc296602463"/>
      <w:bookmarkStart w:id="1188" w:name="_Toc32658"/>
      <w:bookmarkStart w:id="1189" w:name="_Toc179632594"/>
      <w:bookmarkStart w:id="1190" w:name="_Toc247085734"/>
      <w:bookmarkStart w:id="1191" w:name="_Toc28469"/>
      <w:bookmarkStart w:id="1192" w:name="_Toc14476"/>
      <w:bookmarkStart w:id="1193" w:name="_Toc18404"/>
      <w:bookmarkStart w:id="1194" w:name="_Toc246996220"/>
      <w:bookmarkStart w:id="1195" w:name="_Toc31965"/>
      <w:bookmarkStart w:id="1196" w:name="_Toc152045576"/>
      <w:bookmarkStart w:id="1197" w:name="_Toc447265266"/>
      <w:bookmarkStart w:id="1198" w:name="_Toc31536"/>
      <w:bookmarkStart w:id="1199" w:name="_Toc22460"/>
      <w:bookmarkStart w:id="1200" w:name="_Toc27938"/>
      <w:bookmarkStart w:id="1201" w:name="_Toc246996963"/>
      <w:bookmarkStart w:id="1202" w:name="_Toc21156"/>
      <w:bookmarkStart w:id="1203" w:name="_Toc23252"/>
      <w:bookmarkStart w:id="1204" w:name="_Toc17192"/>
      <w:bookmarkStart w:id="1205" w:name="_Toc447265552"/>
      <w:bookmarkStart w:id="1206" w:name="_Toc32699"/>
      <w:bookmarkStart w:id="1207" w:name="_Toc144974544"/>
      <w:r>
        <w:rPr>
          <w:rFonts w:hint="eastAsia" w:asciiTheme="minorEastAsia" w:hAnsiTheme="minorEastAsia" w:eastAsiaTheme="minorEastAsia"/>
          <w:sz w:val="24"/>
          <w:szCs w:val="24"/>
        </w:rPr>
        <w:t>10.2对供应商的纪律要求</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167503D5">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供应商不得相互串通或者与采购人串通响应，不得向采购人或者评审委员会成员行贿谋取成交，不得以他人名义响应或者以其他方式弄虚作假骗取成交，供应商不得以任何方式干扰、影响评审工作。</w:t>
      </w:r>
    </w:p>
    <w:p w14:paraId="2220CC56">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208" w:name="_Toc7706"/>
      <w:bookmarkStart w:id="1209" w:name="_Toc10590"/>
      <w:bookmarkStart w:id="1210" w:name="_Toc1469"/>
      <w:bookmarkStart w:id="1211" w:name="_Toc28113"/>
      <w:bookmarkStart w:id="1212" w:name="_Toc8183"/>
      <w:bookmarkStart w:id="1213" w:name="_Toc447265553"/>
      <w:bookmarkStart w:id="1214" w:name="_Toc152042353"/>
      <w:bookmarkStart w:id="1215" w:name="_Toc246996221"/>
      <w:bookmarkStart w:id="1216" w:name="_Toc11483"/>
      <w:bookmarkStart w:id="1217" w:name="_Toc8786"/>
      <w:bookmarkStart w:id="1218" w:name="_Toc4181"/>
      <w:bookmarkStart w:id="1219" w:name="_Toc16218"/>
      <w:bookmarkStart w:id="1220" w:name="_Toc447265267"/>
      <w:bookmarkStart w:id="1221" w:name="_Toc247085735"/>
      <w:bookmarkStart w:id="1222" w:name="_Toc9684"/>
      <w:bookmarkStart w:id="1223" w:name="_Toc24671"/>
      <w:bookmarkStart w:id="1224" w:name="_Toc144974545"/>
      <w:bookmarkStart w:id="1225" w:name="_Toc17157"/>
      <w:bookmarkStart w:id="1226" w:name="_Toc152045577"/>
      <w:bookmarkStart w:id="1227" w:name="_Toc179632595"/>
      <w:bookmarkStart w:id="1228" w:name="_Toc296602464"/>
      <w:bookmarkStart w:id="1229" w:name="_Toc246996964"/>
      <w:bookmarkStart w:id="1230" w:name="_Toc20060"/>
      <w:bookmarkStart w:id="1231" w:name="_Toc18586"/>
      <w:bookmarkStart w:id="1232" w:name="_Toc28148"/>
      <w:bookmarkStart w:id="1233" w:name="_Toc10167"/>
      <w:r>
        <w:rPr>
          <w:rFonts w:hint="eastAsia" w:asciiTheme="minorEastAsia" w:hAnsiTheme="minorEastAsia" w:eastAsiaTheme="minorEastAsia"/>
          <w:sz w:val="24"/>
          <w:szCs w:val="24"/>
        </w:rPr>
        <w:t>10.3对评审委员会成员的纪律要求</w:t>
      </w:r>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p>
    <w:p w14:paraId="5F4BBD6E">
      <w:pPr>
        <w:adjustRightInd w:val="0"/>
        <w:snapToGrid w:val="0"/>
        <w:spacing w:line="44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评审委员会成员不得收受他人的财物或者其他好处，不得向他人透漏对响应文件的评审和比较、成交候选人的推荐情况以及评审有关的其他情况。在评审活动中，评审委员会成员应当客观、公正地履行职责，遵守职业道德，不得擅离职守，影响评审程序正常进行，不得使用第三章“评审办法”没有规定的评审因素和标准进行评审。</w:t>
      </w:r>
    </w:p>
    <w:p w14:paraId="77AF1C05">
      <w:pPr>
        <w:pStyle w:val="36"/>
        <w:tabs>
          <w:tab w:val="left" w:pos="588"/>
        </w:tabs>
        <w:snapToGrid w:val="0"/>
        <w:spacing w:before="120" w:after="120" w:line="440" w:lineRule="exact"/>
        <w:jc w:val="left"/>
        <w:outlineLvl w:val="2"/>
        <w:rPr>
          <w:rFonts w:asciiTheme="minorEastAsia" w:hAnsiTheme="minorEastAsia" w:eastAsiaTheme="minorEastAsia"/>
          <w:sz w:val="24"/>
          <w:szCs w:val="24"/>
        </w:rPr>
      </w:pPr>
      <w:bookmarkStart w:id="1234" w:name="_Toc29194"/>
      <w:bookmarkStart w:id="1235" w:name="_Toc11042"/>
      <w:bookmarkStart w:id="1236" w:name="_Toc776"/>
      <w:bookmarkStart w:id="1237" w:name="_Toc25223"/>
      <w:bookmarkStart w:id="1238" w:name="_Toc591"/>
      <w:bookmarkStart w:id="1239" w:name="_Toc30906"/>
      <w:bookmarkStart w:id="1240" w:name="_Toc10307"/>
      <w:bookmarkStart w:id="1241" w:name="_Toc15628"/>
      <w:bookmarkStart w:id="1242" w:name="_Toc247085736"/>
      <w:bookmarkStart w:id="1243" w:name="_Toc3849"/>
      <w:bookmarkStart w:id="1244" w:name="_Toc25276"/>
      <w:bookmarkStart w:id="1245" w:name="_Toc447265268"/>
      <w:bookmarkStart w:id="1246" w:name="_Toc31324"/>
      <w:bookmarkStart w:id="1247" w:name="_Toc26738"/>
      <w:bookmarkStart w:id="1248" w:name="_Toc447265554"/>
      <w:bookmarkStart w:id="1249" w:name="_Toc246996965"/>
      <w:bookmarkStart w:id="1250" w:name="_Toc296602465"/>
      <w:bookmarkStart w:id="1251" w:name="_Toc152042354"/>
      <w:bookmarkStart w:id="1252" w:name="_Toc27262"/>
      <w:bookmarkStart w:id="1253" w:name="_Toc16531"/>
      <w:bookmarkStart w:id="1254" w:name="_Toc29597"/>
      <w:bookmarkStart w:id="1255" w:name="_Toc5736"/>
      <w:bookmarkStart w:id="1256" w:name="_Toc152045578"/>
      <w:bookmarkStart w:id="1257" w:name="_Toc246996222"/>
      <w:bookmarkStart w:id="1258" w:name="_Toc179632596"/>
      <w:bookmarkStart w:id="1259" w:name="_Toc144974546"/>
      <w:r>
        <w:rPr>
          <w:rFonts w:hint="eastAsia" w:asciiTheme="minorEastAsia" w:hAnsiTheme="minorEastAsia" w:eastAsiaTheme="minorEastAsia"/>
          <w:sz w:val="24"/>
          <w:szCs w:val="24"/>
        </w:rPr>
        <w:t>10.4对与评审活动有关的工作人员的纪律要求</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p>
    <w:p w14:paraId="13D2DDB6">
      <w:pPr>
        <w:adjustRightInd w:val="0"/>
        <w:snapToGrid w:val="0"/>
        <w:spacing w:line="440" w:lineRule="exact"/>
        <w:ind w:firstLine="420" w:firstLineChars="200"/>
        <w:rPr>
          <w:rFonts w:cs="宋体" w:asciiTheme="minorEastAsia" w:hAnsiTheme="minorEastAsia" w:eastAsiaTheme="minorEastAsia"/>
          <w:szCs w:val="21"/>
        </w:rPr>
      </w:pPr>
      <w:bookmarkStart w:id="1260" w:name="_Toc152042355"/>
      <w:r>
        <w:rPr>
          <w:rFonts w:hint="eastAsia" w:cs="宋体" w:asciiTheme="minorEastAsia" w:hAnsiTheme="minorEastAsia" w:eastAsiaTheme="minorEastAsia"/>
          <w:szCs w:val="21"/>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bookmarkEnd w:id="1260"/>
    </w:p>
    <w:bookmarkEnd w:id="1259"/>
    <w:p w14:paraId="1B904631">
      <w:pPr>
        <w:pStyle w:val="36"/>
        <w:numPr>
          <w:ilvl w:val="0"/>
          <w:numId w:val="7"/>
        </w:numPr>
        <w:tabs>
          <w:tab w:val="left" w:pos="602"/>
        </w:tabs>
        <w:snapToGrid w:val="0"/>
        <w:spacing w:before="120" w:after="120" w:line="440" w:lineRule="exact"/>
        <w:ind w:left="0" w:firstLine="0"/>
        <w:jc w:val="left"/>
        <w:outlineLvl w:val="1"/>
        <w:rPr>
          <w:rFonts w:asciiTheme="minorEastAsia" w:hAnsiTheme="minorEastAsia" w:eastAsiaTheme="minorEastAsia"/>
          <w:sz w:val="28"/>
          <w:szCs w:val="28"/>
        </w:rPr>
      </w:pPr>
      <w:bookmarkStart w:id="1261" w:name="_Toc477190326"/>
      <w:bookmarkEnd w:id="1261"/>
      <w:bookmarkStart w:id="1262" w:name="_Toc477190327"/>
      <w:bookmarkEnd w:id="1262"/>
      <w:bookmarkStart w:id="1263" w:name="_Toc477190328"/>
      <w:bookmarkEnd w:id="1263"/>
      <w:bookmarkStart w:id="1264" w:name="_Toc447188709"/>
      <w:bookmarkStart w:id="1265" w:name="_Toc152042357"/>
      <w:bookmarkStart w:id="1266" w:name="_Toc23057"/>
      <w:bookmarkStart w:id="1267" w:name="_Toc447265556"/>
      <w:bookmarkStart w:id="1268" w:name="_Toc30692"/>
      <w:bookmarkStart w:id="1269" w:name="_Toc6001"/>
      <w:bookmarkStart w:id="1270" w:name="_Toc247085738"/>
      <w:bookmarkStart w:id="1271" w:name="_Toc22066"/>
      <w:bookmarkStart w:id="1272" w:name="_Toc31562"/>
      <w:bookmarkStart w:id="1273" w:name="_Toc144974547"/>
      <w:bookmarkStart w:id="1274" w:name="_Toc246996224"/>
      <w:bookmarkStart w:id="1275" w:name="_Toc29219"/>
      <w:bookmarkStart w:id="1276" w:name="_Toc15055"/>
      <w:bookmarkStart w:id="1277" w:name="_Toc18921"/>
      <w:bookmarkStart w:id="1278" w:name="_Toc152045580"/>
      <w:bookmarkStart w:id="1279" w:name="_Toc246996967"/>
      <w:bookmarkStart w:id="1280" w:name="_Toc9405"/>
      <w:bookmarkStart w:id="1281" w:name="_Toc179632598"/>
      <w:bookmarkStart w:id="1282" w:name="_Toc5864"/>
      <w:bookmarkStart w:id="1283" w:name="_Toc32742"/>
      <w:bookmarkStart w:id="1284" w:name="_Toc6057"/>
      <w:bookmarkStart w:id="1285" w:name="_Toc29165"/>
      <w:bookmarkStart w:id="1286" w:name="_Toc447265270"/>
      <w:bookmarkStart w:id="1287" w:name="_Toc296602467"/>
      <w:bookmarkStart w:id="1288" w:name="_Toc29606"/>
      <w:bookmarkStart w:id="1289" w:name="_Toc11264"/>
      <w:bookmarkStart w:id="1290" w:name="_Toc30142"/>
      <w:r>
        <w:rPr>
          <w:rFonts w:hint="eastAsia" w:asciiTheme="minorEastAsia" w:hAnsiTheme="minorEastAsia" w:eastAsiaTheme="minorEastAsia"/>
          <w:sz w:val="28"/>
          <w:szCs w:val="28"/>
        </w:rPr>
        <w:t>需要补充的其他内容</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p>
    <w:p w14:paraId="04420053">
      <w:pPr>
        <w:adjustRightInd w:val="0"/>
        <w:snapToGrid w:val="0"/>
        <w:spacing w:line="360" w:lineRule="exact"/>
        <w:ind w:firstLine="420" w:firstLineChars="200"/>
        <w:jc w:val="left"/>
        <w:rPr>
          <w:rFonts w:hint="eastAsia" w:cs="宋体" w:asciiTheme="minorEastAsia" w:hAnsiTheme="minorEastAsia" w:eastAsiaTheme="minorEastAsia"/>
          <w:szCs w:val="21"/>
        </w:rPr>
      </w:pPr>
      <w:r>
        <w:rPr>
          <w:rFonts w:hint="eastAsia" w:cs="宋体" w:asciiTheme="minorEastAsia" w:hAnsiTheme="minorEastAsia" w:eastAsiaTheme="minorEastAsia"/>
          <w:szCs w:val="21"/>
        </w:rPr>
        <w:t>需要补充的其他内容：见供应商须知前附表。</w:t>
      </w:r>
    </w:p>
    <w:p w14:paraId="7E756AF0">
      <w:pPr>
        <w:tabs>
          <w:tab w:val="left" w:pos="851"/>
        </w:tabs>
        <w:adjustRightInd w:val="0"/>
        <w:snapToGrid w:val="0"/>
        <w:spacing w:line="440" w:lineRule="exact"/>
        <w:rPr>
          <w:rFonts w:hint="eastAsia" w:cs="宋体" w:asciiTheme="minorEastAsia" w:hAnsiTheme="minorEastAsia" w:eastAsiaTheme="minorEastAsia"/>
          <w:sz w:val="24"/>
        </w:rPr>
      </w:pPr>
    </w:p>
    <w:p w14:paraId="7F1224CF">
      <w:pPr>
        <w:rPr>
          <w:rFonts w:hint="eastAsia" w:cs="宋体" w:asciiTheme="minorEastAsia" w:hAnsiTheme="minorEastAsia" w:eastAsiaTheme="minorEastAsia"/>
          <w:b/>
          <w:bCs w:val="0"/>
          <w:sz w:val="28"/>
          <w:szCs w:val="28"/>
          <w:lang w:val="en-US" w:eastAsia="zh-CN"/>
        </w:rPr>
      </w:pPr>
      <w:bookmarkStart w:id="1291" w:name="_Toc447265557"/>
      <w:bookmarkStart w:id="1292" w:name="_Toc22874"/>
      <w:bookmarkStart w:id="1293" w:name="_Toc13062"/>
      <w:bookmarkStart w:id="1294" w:name="_Toc447265271"/>
      <w:r>
        <w:rPr>
          <w:rFonts w:hint="eastAsia" w:cs="宋体" w:asciiTheme="minorEastAsia" w:hAnsiTheme="minorEastAsia" w:eastAsiaTheme="minorEastAsia"/>
          <w:b/>
          <w:bCs w:val="0"/>
          <w:sz w:val="28"/>
          <w:szCs w:val="28"/>
          <w:lang w:val="en-US" w:eastAsia="zh-CN"/>
        </w:rPr>
        <w:br w:type="page"/>
      </w:r>
    </w:p>
    <w:p w14:paraId="085FF58A">
      <w:pPr>
        <w:pStyle w:val="47"/>
        <w:numPr>
          <w:ilvl w:val="0"/>
          <w:numId w:val="0"/>
        </w:numPr>
        <w:snapToGrid w:val="0"/>
        <w:spacing w:before="0" w:after="0"/>
        <w:ind w:left="0" w:leftChars="0" w:firstLine="0" w:firstLineChars="0"/>
        <w:rPr>
          <w:rFonts w:hint="eastAsia" w:cs="宋体" w:asciiTheme="minorEastAsia" w:hAnsiTheme="minorEastAsia" w:eastAsiaTheme="minorEastAsia"/>
          <w:b/>
          <w:bCs w:val="0"/>
          <w:kern w:val="0"/>
          <w:sz w:val="28"/>
          <w:szCs w:val="28"/>
        </w:rPr>
      </w:pPr>
      <w:bookmarkStart w:id="1295" w:name="_Toc11165"/>
      <w:bookmarkStart w:id="1296" w:name="_Toc258"/>
      <w:bookmarkStart w:id="1297" w:name="_Toc20986"/>
      <w:bookmarkStart w:id="1298" w:name="_Toc7762"/>
      <w:bookmarkStart w:id="1299" w:name="_Toc7833"/>
      <w:bookmarkStart w:id="1300" w:name="_Toc1604"/>
      <w:bookmarkStart w:id="1301" w:name="_Toc1103"/>
      <w:bookmarkStart w:id="1302" w:name="_Toc9926"/>
      <w:bookmarkStart w:id="1303" w:name="_Toc6092"/>
      <w:bookmarkStart w:id="1304" w:name="_Toc4785"/>
      <w:bookmarkStart w:id="1305" w:name="_Toc2145"/>
      <w:bookmarkStart w:id="1306" w:name="_Toc31460"/>
      <w:r>
        <w:rPr>
          <w:rFonts w:hint="eastAsia" w:cs="宋体" w:asciiTheme="minorEastAsia" w:hAnsiTheme="minorEastAsia" w:eastAsiaTheme="minorEastAsia"/>
          <w:b/>
          <w:bCs w:val="0"/>
          <w:sz w:val="28"/>
          <w:szCs w:val="28"/>
          <w:lang w:val="en-US" w:eastAsia="zh-CN"/>
        </w:rPr>
        <w:t xml:space="preserve">第三章 </w:t>
      </w:r>
      <w:r>
        <w:rPr>
          <w:rFonts w:hint="eastAsia" w:cs="宋体" w:asciiTheme="minorEastAsia" w:hAnsiTheme="minorEastAsia" w:eastAsiaTheme="minorEastAsia"/>
          <w:b/>
          <w:bCs w:val="0"/>
          <w:kern w:val="0"/>
          <w:sz w:val="28"/>
          <w:szCs w:val="28"/>
        </w:rPr>
        <w:t>评审办法</w:t>
      </w:r>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Start w:id="1307" w:name="_Toc29267"/>
      <w:bookmarkStart w:id="1308" w:name="_Toc450489332"/>
    </w:p>
    <w:bookmarkEnd w:id="1307"/>
    <w:bookmarkEnd w:id="1308"/>
    <w:p w14:paraId="12DEC357">
      <w:pPr>
        <w:pStyle w:val="3"/>
        <w:snapToGrid w:val="0"/>
        <w:spacing w:before="240" w:after="120" w:line="240" w:lineRule="auto"/>
        <w:ind w:firstLine="3120" w:firstLineChars="1300"/>
        <w:rPr>
          <w:rFonts w:cs="宋体" w:asciiTheme="minorEastAsia" w:hAnsiTheme="minorEastAsia" w:eastAsiaTheme="minorEastAsia"/>
          <w:b w:val="0"/>
          <w:bCs w:val="0"/>
          <w:sz w:val="24"/>
          <w:szCs w:val="24"/>
        </w:rPr>
      </w:pPr>
      <w:bookmarkStart w:id="1309" w:name="_Toc1099"/>
      <w:bookmarkStart w:id="1310" w:name="_Toc447265560"/>
      <w:bookmarkStart w:id="1311" w:name="_Toc2146"/>
      <w:bookmarkStart w:id="1312" w:name="_Toc917"/>
      <w:bookmarkStart w:id="1313" w:name="_Toc17443"/>
      <w:bookmarkStart w:id="1314" w:name="_Toc587"/>
      <w:bookmarkStart w:id="1315" w:name="_Toc16929"/>
      <w:bookmarkStart w:id="1316" w:name="_Toc11547"/>
      <w:bookmarkStart w:id="1317" w:name="_Toc450489344"/>
      <w:bookmarkStart w:id="1318" w:name="_Toc4100"/>
      <w:bookmarkStart w:id="1319" w:name="_Toc25919"/>
      <w:bookmarkStart w:id="1320" w:name="_Toc17137"/>
      <w:bookmarkStart w:id="1321" w:name="_Toc21616"/>
      <w:bookmarkStart w:id="1322" w:name="_Toc447265274"/>
      <w:bookmarkStart w:id="1323" w:name="_Toc19227"/>
      <w:bookmarkStart w:id="1324" w:name="_Toc8461"/>
      <w:bookmarkStart w:id="1325" w:name="_Toc11718"/>
      <w:bookmarkStart w:id="1326" w:name="_Toc30693"/>
      <w:bookmarkStart w:id="1327" w:name="_Toc7373"/>
      <w:r>
        <w:rPr>
          <w:rFonts w:hint="eastAsia" w:cs="宋体" w:asciiTheme="minorEastAsia" w:hAnsiTheme="minorEastAsia" w:eastAsiaTheme="minorEastAsia"/>
          <w:b w:val="0"/>
          <w:bCs w:val="0"/>
          <w:sz w:val="24"/>
          <w:szCs w:val="24"/>
        </w:rPr>
        <w:t>评审办法前附表</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p>
    <w:p w14:paraId="3773C956">
      <w:pPr>
        <w:adjustRightInd w:val="0"/>
        <w:snapToGrid w:val="0"/>
        <w:spacing w:line="440" w:lineRule="exact"/>
        <w:ind w:firstLine="420" w:firstLineChars="200"/>
        <w:rPr>
          <w:rFonts w:hint="eastAsia"/>
        </w:rPr>
      </w:pPr>
      <w:r>
        <w:rPr>
          <w:rFonts w:hint="eastAsia" w:cs="宋体" w:asciiTheme="minorEastAsia" w:hAnsiTheme="minorEastAsia" w:eastAsiaTheme="minorEastAsia"/>
          <w:szCs w:val="21"/>
        </w:rPr>
        <w:t>本项目采用综合评估法，总分共100分，其中商务</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分,服务</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分，技术</w:t>
      </w:r>
      <w:r>
        <w:rPr>
          <w:rFonts w:hint="eastAsia" w:cs="宋体" w:asciiTheme="minorEastAsia" w:hAnsiTheme="minorEastAsia" w:eastAsiaTheme="minorEastAsia"/>
          <w:szCs w:val="21"/>
          <w:lang w:val="en-US" w:eastAsia="zh-CN"/>
        </w:rPr>
        <w:t>50</w:t>
      </w:r>
      <w:r>
        <w:rPr>
          <w:rFonts w:hint="eastAsia" w:cs="宋体" w:asciiTheme="minorEastAsia" w:hAnsiTheme="minorEastAsia" w:eastAsiaTheme="minorEastAsia"/>
          <w:szCs w:val="21"/>
        </w:rPr>
        <w:t>分，价格</w:t>
      </w:r>
      <w:r>
        <w:rPr>
          <w:rFonts w:hint="eastAsia" w:cs="宋体" w:asciiTheme="minorEastAsia" w:hAnsiTheme="minorEastAsia" w:eastAsiaTheme="minorEastAsia"/>
          <w:szCs w:val="21"/>
          <w:lang w:val="en-US" w:eastAsia="zh-CN"/>
        </w:rPr>
        <w:t>40</w:t>
      </w:r>
      <w:r>
        <w:rPr>
          <w:rFonts w:hint="eastAsia" w:cs="宋体" w:asciiTheme="minorEastAsia" w:hAnsiTheme="minorEastAsia" w:eastAsiaTheme="minorEastAsia"/>
          <w:szCs w:val="21"/>
        </w:rPr>
        <w:t>分。</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时，</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委员会按照</w:t>
      </w:r>
      <w:r>
        <w:rPr>
          <w:rFonts w:hint="eastAsia" w:cs="宋体" w:asciiTheme="minorEastAsia" w:hAnsiTheme="minorEastAsia" w:eastAsiaTheme="minorEastAsia"/>
          <w:szCs w:val="21"/>
          <w:highlight w:val="none"/>
          <w:lang w:eastAsia="zh-CN"/>
        </w:rPr>
        <w:t>询比文件</w:t>
      </w:r>
      <w:r>
        <w:rPr>
          <w:rFonts w:hint="eastAsia" w:cs="宋体" w:asciiTheme="minorEastAsia" w:hAnsiTheme="minorEastAsia" w:eastAsiaTheme="minorEastAsia"/>
          <w:szCs w:val="21"/>
          <w:highlight w:val="none"/>
        </w:rPr>
        <w:t>规定的量化因素和权重比值打分，</w:t>
      </w:r>
      <w:r>
        <w:rPr>
          <w:rFonts w:hint="eastAsia" w:cs="宋体" w:asciiTheme="minorEastAsia" w:hAnsiTheme="minorEastAsia" w:eastAsiaTheme="minorEastAsia"/>
          <w:kern w:val="0"/>
          <w:szCs w:val="21"/>
          <w:highlight w:val="none"/>
        </w:rPr>
        <w:t>按照中国电信供应商不良行为处理结果及《中国电信供应商不良行为管理规则》的处理结果执行规则，应对</w:t>
      </w:r>
      <w:r>
        <w:rPr>
          <w:rFonts w:hint="eastAsia" w:cs="宋体" w:asciiTheme="minorEastAsia" w:hAnsiTheme="minorEastAsia" w:eastAsiaTheme="minorEastAsia"/>
          <w:kern w:val="0"/>
          <w:szCs w:val="21"/>
          <w:highlight w:val="none"/>
          <w:lang w:eastAsia="zh-CN"/>
        </w:rPr>
        <w:t>供应商</w:t>
      </w:r>
      <w:r>
        <w:rPr>
          <w:rFonts w:hint="eastAsia" w:cs="宋体" w:asciiTheme="minorEastAsia" w:hAnsiTheme="minorEastAsia" w:eastAsiaTheme="minorEastAsia"/>
          <w:kern w:val="0"/>
          <w:szCs w:val="21"/>
          <w:highlight w:val="none"/>
        </w:rPr>
        <w:t>的本次</w:t>
      </w:r>
      <w:r>
        <w:rPr>
          <w:rFonts w:hint="eastAsia" w:cs="宋体" w:asciiTheme="minorEastAsia" w:hAnsiTheme="minorEastAsia" w:eastAsiaTheme="minorEastAsia"/>
          <w:kern w:val="0"/>
          <w:szCs w:val="21"/>
          <w:highlight w:val="none"/>
          <w:lang w:eastAsia="zh-CN"/>
        </w:rPr>
        <w:t>响应</w:t>
      </w:r>
      <w:r>
        <w:rPr>
          <w:rFonts w:hint="eastAsia" w:cs="宋体" w:asciiTheme="minorEastAsia" w:hAnsiTheme="minorEastAsia" w:eastAsiaTheme="minorEastAsia"/>
          <w:kern w:val="0"/>
          <w:szCs w:val="21"/>
          <w:highlight w:val="none"/>
        </w:rPr>
        <w:t>执行限制采购处理措施的</w:t>
      </w:r>
      <w:r>
        <w:rPr>
          <w:rFonts w:cs="宋体" w:asciiTheme="minorEastAsia" w:hAnsiTheme="minorEastAsia" w:eastAsiaTheme="minorEastAsia"/>
          <w:kern w:val="0"/>
          <w:szCs w:val="21"/>
          <w:highlight w:val="none"/>
        </w:rPr>
        <w:t>,</w:t>
      </w:r>
      <w:r>
        <w:rPr>
          <w:rFonts w:hint="eastAsia" w:cs="宋体" w:asciiTheme="minorEastAsia" w:hAnsiTheme="minorEastAsia" w:eastAsiaTheme="minorEastAsia"/>
          <w:kern w:val="0"/>
          <w:szCs w:val="21"/>
          <w:highlight w:val="none"/>
          <w:lang w:eastAsia="zh-CN"/>
        </w:rPr>
        <w:t>评审</w:t>
      </w:r>
      <w:r>
        <w:rPr>
          <w:rFonts w:hint="eastAsia" w:cs="宋体" w:asciiTheme="minorEastAsia" w:hAnsiTheme="minorEastAsia" w:eastAsiaTheme="minorEastAsia"/>
          <w:kern w:val="0"/>
          <w:szCs w:val="21"/>
          <w:highlight w:val="none"/>
        </w:rPr>
        <w:t>委员会应按照处理结果</w:t>
      </w:r>
      <w:r>
        <w:rPr>
          <w:rFonts w:hint="eastAsia" w:cs="宋体" w:asciiTheme="minorEastAsia" w:hAnsiTheme="minorEastAsia" w:eastAsiaTheme="minorEastAsia"/>
          <w:kern w:val="0"/>
          <w:szCs w:val="21"/>
          <w:highlight w:val="none"/>
          <w:lang w:val="en-US" w:eastAsia="zh-CN"/>
        </w:rPr>
        <w:t>及规则</w:t>
      </w:r>
      <w:r>
        <w:rPr>
          <w:rFonts w:hint="eastAsia" w:cs="宋体" w:asciiTheme="minorEastAsia" w:hAnsiTheme="minorEastAsia" w:eastAsiaTheme="minorEastAsia"/>
          <w:kern w:val="0"/>
          <w:szCs w:val="21"/>
          <w:highlight w:val="none"/>
        </w:rPr>
        <w:t>扣减相应分值。</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委员会全体成员对该</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打分的算术平均值为该</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的最终得分。</w:t>
      </w:r>
    </w:p>
    <w:tbl>
      <w:tblPr>
        <w:tblStyle w:val="39"/>
        <w:tblW w:w="9306" w:type="dxa"/>
        <w:tblInd w:w="-3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9"/>
        <w:gridCol w:w="992"/>
        <w:gridCol w:w="1120"/>
        <w:gridCol w:w="1964"/>
        <w:gridCol w:w="757"/>
        <w:gridCol w:w="3144"/>
      </w:tblGrid>
      <w:tr w14:paraId="7742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trPr>
        <w:tc>
          <w:tcPr>
            <w:tcW w:w="2321" w:type="dxa"/>
            <w:gridSpan w:val="2"/>
            <w:vAlign w:val="center"/>
          </w:tcPr>
          <w:p w14:paraId="6CFFF0E9">
            <w:pPr>
              <w:snapToGrid w:val="0"/>
              <w:jc w:val="center"/>
              <w:rPr>
                <w:rFonts w:hint="eastAsia" w:ascii="宋体" w:hAnsi="宋体" w:eastAsia="宋体" w:cs="宋体"/>
                <w:kern w:val="0"/>
                <w:szCs w:val="21"/>
              </w:rPr>
            </w:pPr>
            <w:bookmarkStart w:id="1328" w:name="_Toc488944170"/>
            <w:bookmarkEnd w:id="1328"/>
            <w:bookmarkStart w:id="1329" w:name="_Toc488944169"/>
            <w:bookmarkEnd w:id="1329"/>
            <w:bookmarkStart w:id="1330" w:name="_Toc450489334"/>
            <w:r>
              <w:rPr>
                <w:rFonts w:hint="eastAsia" w:ascii="宋体" w:hAnsi="宋体" w:eastAsia="宋体" w:cs="宋体"/>
                <w:szCs w:val="21"/>
              </w:rPr>
              <w:t>条款号</w:t>
            </w:r>
          </w:p>
        </w:tc>
        <w:tc>
          <w:tcPr>
            <w:tcW w:w="1120" w:type="dxa"/>
            <w:vAlign w:val="center"/>
          </w:tcPr>
          <w:p w14:paraId="347E0EC1">
            <w:pPr>
              <w:snapToGrid w:val="0"/>
              <w:jc w:val="center"/>
              <w:rPr>
                <w:rFonts w:hint="eastAsia" w:ascii="宋体" w:hAnsi="宋体" w:eastAsia="宋体" w:cs="宋体"/>
                <w:szCs w:val="21"/>
              </w:rPr>
            </w:pPr>
            <w:r>
              <w:rPr>
                <w:rFonts w:hint="eastAsia" w:ascii="宋体" w:hAnsi="宋体" w:eastAsia="宋体" w:cs="宋体"/>
                <w:kern w:val="0"/>
                <w:szCs w:val="21"/>
              </w:rPr>
              <w:t>评审内容</w:t>
            </w:r>
          </w:p>
        </w:tc>
        <w:tc>
          <w:tcPr>
            <w:tcW w:w="1964" w:type="dxa"/>
            <w:vAlign w:val="center"/>
          </w:tcPr>
          <w:p w14:paraId="74556A80">
            <w:pPr>
              <w:snapToGrid w:val="0"/>
              <w:jc w:val="center"/>
              <w:rPr>
                <w:rFonts w:hint="eastAsia" w:ascii="宋体" w:hAnsi="宋体" w:eastAsia="宋体" w:cs="宋体"/>
                <w:szCs w:val="21"/>
              </w:rPr>
            </w:pPr>
            <w:r>
              <w:rPr>
                <w:rFonts w:hint="eastAsia" w:ascii="宋体" w:hAnsi="宋体" w:eastAsia="宋体" w:cs="宋体"/>
                <w:kern w:val="0"/>
                <w:szCs w:val="21"/>
              </w:rPr>
              <w:t>评审因素</w:t>
            </w:r>
          </w:p>
        </w:tc>
        <w:tc>
          <w:tcPr>
            <w:tcW w:w="3901" w:type="dxa"/>
            <w:gridSpan w:val="2"/>
            <w:vAlign w:val="center"/>
          </w:tcPr>
          <w:p w14:paraId="481DA8AE">
            <w:pPr>
              <w:snapToGrid w:val="0"/>
              <w:jc w:val="center"/>
              <w:rPr>
                <w:rFonts w:hint="eastAsia" w:ascii="宋体" w:hAnsi="宋体" w:eastAsia="宋体" w:cs="宋体"/>
                <w:szCs w:val="21"/>
              </w:rPr>
            </w:pPr>
            <w:r>
              <w:rPr>
                <w:rFonts w:hint="eastAsia" w:ascii="宋体" w:hAnsi="宋体" w:eastAsia="宋体" w:cs="宋体"/>
                <w:kern w:val="0"/>
                <w:szCs w:val="21"/>
              </w:rPr>
              <w:t>评审标准</w:t>
            </w:r>
          </w:p>
        </w:tc>
      </w:tr>
      <w:tr w14:paraId="2097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restart"/>
            <w:vAlign w:val="center"/>
          </w:tcPr>
          <w:p w14:paraId="76D1C633">
            <w:pPr>
              <w:snapToGrid w:val="0"/>
              <w:jc w:val="center"/>
              <w:rPr>
                <w:rFonts w:hint="eastAsia" w:ascii="宋体" w:hAnsi="宋体" w:eastAsia="宋体" w:cs="宋体"/>
                <w:szCs w:val="21"/>
              </w:rPr>
            </w:pPr>
            <w:r>
              <w:rPr>
                <w:rFonts w:hint="eastAsia" w:ascii="宋体" w:hAnsi="宋体" w:eastAsia="宋体" w:cs="宋体"/>
                <w:szCs w:val="21"/>
              </w:rPr>
              <w:t>2.1</w:t>
            </w:r>
          </w:p>
        </w:tc>
        <w:tc>
          <w:tcPr>
            <w:tcW w:w="992" w:type="dxa"/>
            <w:vMerge w:val="restart"/>
            <w:vAlign w:val="center"/>
          </w:tcPr>
          <w:p w14:paraId="7A4F17C1">
            <w:pPr>
              <w:snapToGrid w:val="0"/>
              <w:jc w:val="center"/>
              <w:rPr>
                <w:rFonts w:hint="eastAsia" w:ascii="宋体" w:hAnsi="宋体" w:eastAsia="宋体" w:cs="宋体"/>
                <w:kern w:val="0"/>
                <w:szCs w:val="21"/>
              </w:rPr>
            </w:pPr>
            <w:r>
              <w:rPr>
                <w:rFonts w:hint="eastAsia" w:ascii="宋体" w:hAnsi="宋体" w:eastAsia="宋体" w:cs="宋体"/>
                <w:kern w:val="0"/>
                <w:szCs w:val="21"/>
              </w:rPr>
              <w:t>初步评审</w:t>
            </w:r>
          </w:p>
        </w:tc>
        <w:tc>
          <w:tcPr>
            <w:tcW w:w="1120" w:type="dxa"/>
            <w:vMerge w:val="restart"/>
            <w:vAlign w:val="center"/>
          </w:tcPr>
          <w:p w14:paraId="768E186C">
            <w:pPr>
              <w:snapToGrid w:val="0"/>
              <w:jc w:val="left"/>
              <w:rPr>
                <w:rFonts w:hint="eastAsia" w:ascii="宋体" w:hAnsi="宋体" w:eastAsia="宋体" w:cs="宋体"/>
                <w:szCs w:val="21"/>
              </w:rPr>
            </w:pPr>
            <w:r>
              <w:rPr>
                <w:rFonts w:hint="eastAsia" w:ascii="宋体" w:hAnsi="宋体" w:eastAsia="宋体" w:cs="宋体"/>
                <w:kern w:val="0"/>
                <w:szCs w:val="21"/>
              </w:rPr>
              <w:t>形式评审</w:t>
            </w:r>
          </w:p>
        </w:tc>
        <w:tc>
          <w:tcPr>
            <w:tcW w:w="1964" w:type="dxa"/>
            <w:vAlign w:val="center"/>
          </w:tcPr>
          <w:p w14:paraId="24BE400D">
            <w:pPr>
              <w:snapToGrid w:val="0"/>
              <w:jc w:val="center"/>
              <w:rPr>
                <w:rFonts w:hint="eastAsia" w:ascii="宋体" w:hAnsi="宋体" w:eastAsia="宋体" w:cs="宋体"/>
                <w:szCs w:val="21"/>
              </w:rPr>
            </w:pPr>
            <w:r>
              <w:rPr>
                <w:rFonts w:hint="eastAsia" w:ascii="宋体" w:hAnsi="宋体" w:cs="宋体"/>
                <w:kern w:val="0"/>
                <w:szCs w:val="21"/>
                <w:lang w:eastAsia="zh-CN"/>
              </w:rPr>
              <w:t>供应商</w:t>
            </w:r>
            <w:r>
              <w:rPr>
                <w:rFonts w:hint="eastAsia" w:ascii="宋体" w:hAnsi="宋体" w:eastAsia="宋体" w:cs="宋体"/>
                <w:kern w:val="0"/>
                <w:szCs w:val="21"/>
              </w:rPr>
              <w:t>名称</w:t>
            </w:r>
          </w:p>
        </w:tc>
        <w:tc>
          <w:tcPr>
            <w:tcW w:w="3901" w:type="dxa"/>
            <w:gridSpan w:val="2"/>
            <w:vAlign w:val="center"/>
          </w:tcPr>
          <w:p w14:paraId="5D6BC9DB">
            <w:pPr>
              <w:snapToGrid w:val="0"/>
              <w:jc w:val="left"/>
              <w:rPr>
                <w:rFonts w:hint="eastAsia" w:ascii="宋体" w:hAnsi="宋体" w:eastAsia="宋体" w:cs="宋体"/>
                <w:szCs w:val="21"/>
              </w:rPr>
            </w:pPr>
            <w:r>
              <w:rPr>
                <w:rFonts w:hint="eastAsia" w:ascii="宋体" w:hAnsi="宋体" w:eastAsia="宋体" w:cs="宋体"/>
                <w:szCs w:val="21"/>
              </w:rPr>
              <w:t>与营业执照，资质证书等证明文件一致</w:t>
            </w:r>
          </w:p>
        </w:tc>
      </w:tr>
      <w:tr w14:paraId="0B210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29" w:type="dxa"/>
            <w:vMerge w:val="continue"/>
            <w:vAlign w:val="center"/>
          </w:tcPr>
          <w:p w14:paraId="0AD0FDEA">
            <w:pPr>
              <w:snapToGrid w:val="0"/>
              <w:jc w:val="center"/>
              <w:rPr>
                <w:rFonts w:hint="eastAsia" w:ascii="宋体" w:hAnsi="宋体" w:eastAsia="宋体" w:cs="宋体"/>
                <w:szCs w:val="21"/>
              </w:rPr>
            </w:pPr>
          </w:p>
        </w:tc>
        <w:tc>
          <w:tcPr>
            <w:tcW w:w="992" w:type="dxa"/>
            <w:vMerge w:val="continue"/>
            <w:vAlign w:val="center"/>
          </w:tcPr>
          <w:p w14:paraId="0BFE383F">
            <w:pPr>
              <w:snapToGrid w:val="0"/>
              <w:jc w:val="center"/>
              <w:rPr>
                <w:rFonts w:hint="eastAsia" w:ascii="宋体" w:hAnsi="宋体" w:eastAsia="宋体" w:cs="宋体"/>
                <w:kern w:val="0"/>
                <w:szCs w:val="21"/>
              </w:rPr>
            </w:pPr>
          </w:p>
        </w:tc>
        <w:tc>
          <w:tcPr>
            <w:tcW w:w="1120" w:type="dxa"/>
            <w:vMerge w:val="continue"/>
            <w:vAlign w:val="center"/>
          </w:tcPr>
          <w:p w14:paraId="209F1DFE">
            <w:pPr>
              <w:snapToGrid w:val="0"/>
              <w:jc w:val="left"/>
              <w:rPr>
                <w:rFonts w:hint="eastAsia" w:ascii="宋体" w:hAnsi="宋体" w:eastAsia="宋体" w:cs="宋体"/>
                <w:kern w:val="0"/>
                <w:szCs w:val="21"/>
              </w:rPr>
            </w:pPr>
          </w:p>
        </w:tc>
        <w:tc>
          <w:tcPr>
            <w:tcW w:w="1964" w:type="dxa"/>
            <w:vAlign w:val="center"/>
          </w:tcPr>
          <w:p w14:paraId="2530EEA6">
            <w:pPr>
              <w:snapToGrid w:val="0"/>
              <w:jc w:val="center"/>
              <w:rPr>
                <w:rFonts w:hint="eastAsia" w:ascii="宋体" w:hAnsi="宋体" w:eastAsia="宋体" w:cs="宋体"/>
                <w:kern w:val="0"/>
                <w:szCs w:val="21"/>
              </w:rPr>
            </w:pPr>
            <w:r>
              <w:rPr>
                <w:rFonts w:hint="eastAsia" w:ascii="宋体" w:hAnsi="宋体" w:cs="宋体"/>
                <w:kern w:val="0"/>
                <w:szCs w:val="21"/>
                <w:lang w:eastAsia="zh-CN"/>
              </w:rPr>
              <w:t>响应</w:t>
            </w:r>
            <w:r>
              <w:rPr>
                <w:rFonts w:hint="eastAsia" w:ascii="宋体" w:hAnsi="宋体" w:eastAsia="宋体" w:cs="宋体"/>
                <w:kern w:val="0"/>
                <w:szCs w:val="21"/>
              </w:rPr>
              <w:t>函</w:t>
            </w:r>
          </w:p>
        </w:tc>
        <w:tc>
          <w:tcPr>
            <w:tcW w:w="3901" w:type="dxa"/>
            <w:gridSpan w:val="2"/>
            <w:vAlign w:val="center"/>
          </w:tcPr>
          <w:p w14:paraId="06500583">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文件格式”格式提供</w:t>
            </w:r>
            <w:r>
              <w:rPr>
                <w:rFonts w:hint="eastAsia" w:ascii="宋体" w:hAnsi="宋体" w:cs="宋体"/>
                <w:szCs w:val="21"/>
                <w:lang w:eastAsia="zh-CN"/>
              </w:rPr>
              <w:t>响应</w:t>
            </w:r>
            <w:r>
              <w:rPr>
                <w:rFonts w:hint="eastAsia" w:ascii="宋体" w:hAnsi="宋体" w:eastAsia="宋体" w:cs="宋体"/>
                <w:szCs w:val="21"/>
              </w:rPr>
              <w:t>函</w:t>
            </w:r>
          </w:p>
        </w:tc>
      </w:tr>
      <w:tr w14:paraId="50455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2EBAA11">
            <w:pPr>
              <w:snapToGrid w:val="0"/>
              <w:jc w:val="center"/>
              <w:rPr>
                <w:rFonts w:hint="eastAsia" w:ascii="宋体" w:hAnsi="宋体" w:eastAsia="宋体" w:cs="宋体"/>
                <w:szCs w:val="21"/>
              </w:rPr>
            </w:pPr>
          </w:p>
        </w:tc>
        <w:tc>
          <w:tcPr>
            <w:tcW w:w="992" w:type="dxa"/>
            <w:vMerge w:val="continue"/>
          </w:tcPr>
          <w:p w14:paraId="74E436B0">
            <w:pPr>
              <w:snapToGrid w:val="0"/>
              <w:jc w:val="center"/>
              <w:rPr>
                <w:rFonts w:hint="eastAsia" w:ascii="宋体" w:hAnsi="宋体" w:eastAsia="宋体" w:cs="宋体"/>
                <w:szCs w:val="21"/>
              </w:rPr>
            </w:pPr>
          </w:p>
        </w:tc>
        <w:tc>
          <w:tcPr>
            <w:tcW w:w="1120" w:type="dxa"/>
            <w:vMerge w:val="continue"/>
            <w:vAlign w:val="center"/>
          </w:tcPr>
          <w:p w14:paraId="14673133">
            <w:pPr>
              <w:snapToGrid w:val="0"/>
              <w:jc w:val="left"/>
              <w:rPr>
                <w:rFonts w:hint="eastAsia" w:ascii="宋体" w:hAnsi="宋体" w:eastAsia="宋体" w:cs="宋体"/>
                <w:szCs w:val="21"/>
              </w:rPr>
            </w:pPr>
          </w:p>
        </w:tc>
        <w:tc>
          <w:tcPr>
            <w:tcW w:w="1964" w:type="dxa"/>
            <w:vAlign w:val="center"/>
          </w:tcPr>
          <w:p w14:paraId="4B853782">
            <w:pPr>
              <w:snapToGrid w:val="0"/>
              <w:jc w:val="center"/>
              <w:rPr>
                <w:rFonts w:hint="eastAsia" w:ascii="宋体" w:hAnsi="宋体" w:eastAsia="宋体" w:cs="宋体"/>
                <w:szCs w:val="21"/>
              </w:rPr>
            </w:pPr>
            <w:r>
              <w:rPr>
                <w:rFonts w:hint="eastAsia" w:ascii="宋体" w:hAnsi="宋体" w:eastAsia="宋体" w:cs="宋体"/>
                <w:kern w:val="0"/>
                <w:szCs w:val="21"/>
              </w:rPr>
              <w:t>营业执照和资质证书</w:t>
            </w:r>
          </w:p>
        </w:tc>
        <w:tc>
          <w:tcPr>
            <w:tcW w:w="3901" w:type="dxa"/>
            <w:gridSpan w:val="2"/>
            <w:vAlign w:val="center"/>
          </w:tcPr>
          <w:p w14:paraId="594D0875">
            <w:pPr>
              <w:snapToGrid w:val="0"/>
              <w:jc w:val="left"/>
              <w:rPr>
                <w:rFonts w:hint="eastAsia" w:ascii="宋体" w:hAnsi="宋体" w:eastAsia="宋体" w:cs="宋体"/>
                <w:szCs w:val="21"/>
              </w:rPr>
            </w:pPr>
            <w:r>
              <w:rPr>
                <w:rFonts w:hint="eastAsia" w:ascii="宋体" w:hAnsi="宋体" w:eastAsia="宋体" w:cs="宋体"/>
                <w:szCs w:val="21"/>
              </w:rPr>
              <w:t>提供最新有效证明文件</w:t>
            </w:r>
          </w:p>
        </w:tc>
      </w:tr>
      <w:tr w14:paraId="2B221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62A1B66D">
            <w:pPr>
              <w:snapToGrid w:val="0"/>
              <w:jc w:val="center"/>
              <w:rPr>
                <w:rFonts w:hint="eastAsia" w:ascii="宋体" w:hAnsi="宋体" w:eastAsia="宋体" w:cs="宋体"/>
                <w:szCs w:val="21"/>
              </w:rPr>
            </w:pPr>
          </w:p>
        </w:tc>
        <w:tc>
          <w:tcPr>
            <w:tcW w:w="992" w:type="dxa"/>
            <w:vMerge w:val="continue"/>
          </w:tcPr>
          <w:p w14:paraId="7042D0D9">
            <w:pPr>
              <w:snapToGrid w:val="0"/>
              <w:jc w:val="center"/>
              <w:rPr>
                <w:rFonts w:hint="eastAsia" w:ascii="宋体" w:hAnsi="宋体" w:eastAsia="宋体" w:cs="宋体"/>
                <w:szCs w:val="21"/>
              </w:rPr>
            </w:pPr>
          </w:p>
        </w:tc>
        <w:tc>
          <w:tcPr>
            <w:tcW w:w="1120" w:type="dxa"/>
            <w:vMerge w:val="continue"/>
            <w:vAlign w:val="center"/>
          </w:tcPr>
          <w:p w14:paraId="5D57B4C4">
            <w:pPr>
              <w:snapToGrid w:val="0"/>
              <w:jc w:val="left"/>
              <w:rPr>
                <w:rFonts w:hint="eastAsia" w:ascii="宋体" w:hAnsi="宋体" w:eastAsia="宋体" w:cs="宋体"/>
                <w:szCs w:val="21"/>
              </w:rPr>
            </w:pPr>
          </w:p>
        </w:tc>
        <w:tc>
          <w:tcPr>
            <w:tcW w:w="1964" w:type="dxa"/>
            <w:vAlign w:val="center"/>
          </w:tcPr>
          <w:p w14:paraId="7A3560A2">
            <w:pPr>
              <w:snapToGrid w:val="0"/>
              <w:jc w:val="center"/>
              <w:rPr>
                <w:rFonts w:hint="eastAsia" w:ascii="宋体" w:hAnsi="宋体" w:eastAsia="宋体" w:cs="宋体"/>
                <w:kern w:val="0"/>
                <w:szCs w:val="21"/>
              </w:rPr>
            </w:pPr>
            <w:r>
              <w:rPr>
                <w:rFonts w:hint="eastAsia" w:ascii="宋体" w:hAnsi="宋体" w:cs="宋体"/>
                <w:kern w:val="0"/>
                <w:szCs w:val="21"/>
                <w:lang w:eastAsia="zh-CN"/>
              </w:rPr>
              <w:t>响应</w:t>
            </w:r>
            <w:r>
              <w:rPr>
                <w:rFonts w:hint="eastAsia" w:ascii="宋体" w:hAnsi="宋体" w:eastAsia="宋体" w:cs="宋体"/>
                <w:kern w:val="0"/>
                <w:szCs w:val="21"/>
              </w:rPr>
              <w:t>文件签字盖章</w:t>
            </w:r>
          </w:p>
        </w:tc>
        <w:tc>
          <w:tcPr>
            <w:tcW w:w="3901" w:type="dxa"/>
            <w:gridSpan w:val="2"/>
            <w:vAlign w:val="center"/>
          </w:tcPr>
          <w:p w14:paraId="3BC9AD92">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供应商</w:t>
            </w:r>
            <w:r>
              <w:rPr>
                <w:rFonts w:hint="eastAsia" w:ascii="宋体" w:hAnsi="宋体" w:eastAsia="宋体" w:cs="宋体"/>
                <w:szCs w:val="21"/>
              </w:rPr>
              <w:t>须知前附表要求进行盖章。</w:t>
            </w:r>
          </w:p>
        </w:tc>
      </w:tr>
      <w:tr w14:paraId="46B1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1AB9D0A">
            <w:pPr>
              <w:snapToGrid w:val="0"/>
              <w:ind w:firstLine="420" w:firstLineChars="200"/>
              <w:jc w:val="center"/>
              <w:rPr>
                <w:rFonts w:hint="eastAsia" w:ascii="宋体" w:hAnsi="宋体" w:eastAsia="宋体" w:cs="宋体"/>
                <w:szCs w:val="21"/>
              </w:rPr>
            </w:pPr>
          </w:p>
        </w:tc>
        <w:tc>
          <w:tcPr>
            <w:tcW w:w="992" w:type="dxa"/>
            <w:vMerge w:val="continue"/>
          </w:tcPr>
          <w:p w14:paraId="7DACADE4">
            <w:pPr>
              <w:snapToGrid w:val="0"/>
              <w:jc w:val="center"/>
              <w:rPr>
                <w:rFonts w:hint="eastAsia" w:ascii="宋体" w:hAnsi="宋体" w:eastAsia="宋体" w:cs="宋体"/>
                <w:szCs w:val="21"/>
              </w:rPr>
            </w:pPr>
          </w:p>
        </w:tc>
        <w:tc>
          <w:tcPr>
            <w:tcW w:w="1120" w:type="dxa"/>
            <w:vMerge w:val="continue"/>
            <w:vAlign w:val="center"/>
          </w:tcPr>
          <w:p w14:paraId="2E3ABC95">
            <w:pPr>
              <w:snapToGrid w:val="0"/>
              <w:jc w:val="left"/>
              <w:rPr>
                <w:rFonts w:hint="eastAsia" w:ascii="宋体" w:hAnsi="宋体" w:eastAsia="宋体" w:cs="宋体"/>
                <w:szCs w:val="21"/>
              </w:rPr>
            </w:pPr>
          </w:p>
        </w:tc>
        <w:tc>
          <w:tcPr>
            <w:tcW w:w="1964" w:type="dxa"/>
            <w:vAlign w:val="center"/>
          </w:tcPr>
          <w:p w14:paraId="120A2176">
            <w:pPr>
              <w:snapToGrid w:val="0"/>
              <w:jc w:val="center"/>
              <w:rPr>
                <w:rFonts w:hint="eastAsia" w:ascii="宋体" w:hAnsi="宋体" w:eastAsia="宋体" w:cs="宋体"/>
                <w:szCs w:val="21"/>
              </w:rPr>
            </w:pPr>
            <w:r>
              <w:rPr>
                <w:rFonts w:hint="eastAsia" w:ascii="宋体" w:hAnsi="宋体" w:eastAsia="宋体" w:cs="宋体"/>
                <w:kern w:val="0"/>
                <w:szCs w:val="21"/>
              </w:rPr>
              <w:t>法定代表人授权书</w:t>
            </w:r>
          </w:p>
        </w:tc>
        <w:tc>
          <w:tcPr>
            <w:tcW w:w="3901" w:type="dxa"/>
            <w:gridSpan w:val="2"/>
            <w:vAlign w:val="center"/>
          </w:tcPr>
          <w:p w14:paraId="37A5A6B0">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文件格式”格式出具法定代表人/负责人身份证明，委托代理人的还应提供法定代表人/负责人授权委托书</w:t>
            </w:r>
          </w:p>
        </w:tc>
      </w:tr>
      <w:tr w14:paraId="610BD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B51CEF7">
            <w:pPr>
              <w:snapToGrid w:val="0"/>
              <w:ind w:firstLine="420" w:firstLineChars="200"/>
              <w:jc w:val="center"/>
              <w:rPr>
                <w:rFonts w:hint="eastAsia" w:ascii="宋体" w:hAnsi="宋体" w:eastAsia="宋体" w:cs="宋体"/>
                <w:szCs w:val="21"/>
              </w:rPr>
            </w:pPr>
          </w:p>
        </w:tc>
        <w:tc>
          <w:tcPr>
            <w:tcW w:w="992" w:type="dxa"/>
            <w:vMerge w:val="continue"/>
          </w:tcPr>
          <w:p w14:paraId="05393548">
            <w:pPr>
              <w:snapToGrid w:val="0"/>
              <w:jc w:val="center"/>
              <w:rPr>
                <w:rFonts w:hint="eastAsia" w:ascii="宋体" w:hAnsi="宋体" w:eastAsia="宋体" w:cs="宋体"/>
                <w:szCs w:val="21"/>
              </w:rPr>
            </w:pPr>
          </w:p>
        </w:tc>
        <w:tc>
          <w:tcPr>
            <w:tcW w:w="1120" w:type="dxa"/>
            <w:vMerge w:val="continue"/>
            <w:vAlign w:val="center"/>
          </w:tcPr>
          <w:p w14:paraId="480A622D">
            <w:pPr>
              <w:snapToGrid w:val="0"/>
              <w:jc w:val="left"/>
              <w:rPr>
                <w:rFonts w:hint="eastAsia" w:ascii="宋体" w:hAnsi="宋体" w:eastAsia="宋体" w:cs="宋体"/>
                <w:szCs w:val="21"/>
              </w:rPr>
            </w:pPr>
          </w:p>
        </w:tc>
        <w:tc>
          <w:tcPr>
            <w:tcW w:w="1964" w:type="dxa"/>
            <w:vAlign w:val="center"/>
          </w:tcPr>
          <w:p w14:paraId="5ACD22A3">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文件格式</w:t>
            </w:r>
          </w:p>
        </w:tc>
        <w:tc>
          <w:tcPr>
            <w:tcW w:w="3901" w:type="dxa"/>
            <w:gridSpan w:val="2"/>
            <w:vAlign w:val="center"/>
          </w:tcPr>
          <w:p w14:paraId="212B5ADF">
            <w:pPr>
              <w:snapToGrid w:val="0"/>
              <w:jc w:val="left"/>
              <w:rPr>
                <w:rFonts w:hint="eastAsia" w:ascii="宋体" w:hAnsi="宋体" w:eastAsia="宋体" w:cs="宋体"/>
                <w:szCs w:val="21"/>
              </w:rPr>
            </w:pPr>
            <w:r>
              <w:rPr>
                <w:rFonts w:hint="eastAsia" w:ascii="宋体" w:hAnsi="宋体" w:eastAsia="宋体" w:cs="宋体"/>
                <w:szCs w:val="21"/>
              </w:rPr>
              <w:t>符合第二章“</w:t>
            </w:r>
            <w:r>
              <w:rPr>
                <w:rFonts w:hint="eastAsia" w:ascii="宋体" w:hAnsi="宋体" w:cs="宋体"/>
                <w:szCs w:val="21"/>
                <w:lang w:eastAsia="zh-CN"/>
              </w:rPr>
              <w:t>供应商</w:t>
            </w:r>
            <w:r>
              <w:rPr>
                <w:rFonts w:hint="eastAsia" w:ascii="宋体" w:hAnsi="宋体" w:eastAsia="宋体" w:cs="宋体"/>
                <w:szCs w:val="21"/>
              </w:rPr>
              <w:t>须知前附表”规定和第六章“</w:t>
            </w:r>
            <w:r>
              <w:rPr>
                <w:rFonts w:hint="eastAsia" w:ascii="宋体" w:hAnsi="宋体" w:cs="宋体"/>
                <w:szCs w:val="21"/>
                <w:lang w:eastAsia="zh-CN"/>
              </w:rPr>
              <w:t>响应</w:t>
            </w:r>
            <w:r>
              <w:rPr>
                <w:rFonts w:hint="eastAsia" w:ascii="宋体" w:hAnsi="宋体" w:eastAsia="宋体" w:cs="宋体"/>
                <w:szCs w:val="21"/>
              </w:rPr>
              <w:t>文件格式”规定</w:t>
            </w:r>
          </w:p>
        </w:tc>
      </w:tr>
      <w:tr w14:paraId="4C923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64E89D8D">
            <w:pPr>
              <w:snapToGrid w:val="0"/>
              <w:ind w:firstLine="420" w:firstLineChars="200"/>
              <w:jc w:val="center"/>
              <w:rPr>
                <w:rFonts w:hint="eastAsia" w:ascii="宋体" w:hAnsi="宋体" w:eastAsia="宋体" w:cs="宋体"/>
                <w:szCs w:val="21"/>
              </w:rPr>
            </w:pPr>
          </w:p>
        </w:tc>
        <w:tc>
          <w:tcPr>
            <w:tcW w:w="992" w:type="dxa"/>
            <w:vMerge w:val="continue"/>
          </w:tcPr>
          <w:p w14:paraId="45C2B4BD">
            <w:pPr>
              <w:snapToGrid w:val="0"/>
              <w:jc w:val="center"/>
              <w:rPr>
                <w:rFonts w:hint="eastAsia" w:ascii="宋体" w:hAnsi="宋体" w:eastAsia="宋体" w:cs="宋体"/>
                <w:szCs w:val="21"/>
              </w:rPr>
            </w:pPr>
          </w:p>
        </w:tc>
        <w:tc>
          <w:tcPr>
            <w:tcW w:w="1120" w:type="dxa"/>
            <w:vMerge w:val="continue"/>
            <w:vAlign w:val="center"/>
          </w:tcPr>
          <w:p w14:paraId="1121B835">
            <w:pPr>
              <w:snapToGrid w:val="0"/>
              <w:jc w:val="left"/>
              <w:rPr>
                <w:rFonts w:hint="eastAsia" w:ascii="宋体" w:hAnsi="宋体" w:eastAsia="宋体" w:cs="宋体"/>
                <w:szCs w:val="21"/>
              </w:rPr>
            </w:pPr>
          </w:p>
        </w:tc>
        <w:tc>
          <w:tcPr>
            <w:tcW w:w="1964" w:type="dxa"/>
            <w:vAlign w:val="center"/>
          </w:tcPr>
          <w:p w14:paraId="07DB9A94">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保证金</w:t>
            </w:r>
          </w:p>
        </w:tc>
        <w:tc>
          <w:tcPr>
            <w:tcW w:w="3901" w:type="dxa"/>
            <w:gridSpan w:val="2"/>
            <w:vAlign w:val="center"/>
          </w:tcPr>
          <w:p w14:paraId="11951117">
            <w:pPr>
              <w:snapToGrid w:val="0"/>
              <w:jc w:val="left"/>
              <w:rPr>
                <w:rFonts w:hint="eastAsia" w:ascii="宋体" w:hAnsi="宋体" w:eastAsia="宋体" w:cs="宋体"/>
                <w:szCs w:val="21"/>
              </w:rPr>
            </w:pPr>
            <w:r>
              <w:rPr>
                <w:rFonts w:hint="eastAsia" w:ascii="宋体" w:hAnsi="宋体" w:eastAsia="宋体" w:cs="宋体"/>
                <w:szCs w:val="21"/>
              </w:rPr>
              <w:t>符合第二章“</w:t>
            </w:r>
            <w:r>
              <w:rPr>
                <w:rFonts w:hint="eastAsia" w:ascii="宋体" w:hAnsi="宋体" w:cs="宋体"/>
                <w:szCs w:val="21"/>
                <w:lang w:eastAsia="zh-CN"/>
              </w:rPr>
              <w:t>供应商</w:t>
            </w:r>
            <w:r>
              <w:rPr>
                <w:rFonts w:hint="eastAsia" w:ascii="宋体" w:hAnsi="宋体" w:eastAsia="宋体" w:cs="宋体"/>
                <w:szCs w:val="21"/>
              </w:rPr>
              <w:t>须知前附表”关于</w:t>
            </w:r>
            <w:r>
              <w:rPr>
                <w:rFonts w:hint="eastAsia" w:ascii="宋体" w:hAnsi="宋体" w:cs="宋体"/>
                <w:szCs w:val="21"/>
                <w:lang w:eastAsia="zh-CN"/>
              </w:rPr>
              <w:t>响应</w:t>
            </w:r>
            <w:r>
              <w:rPr>
                <w:rFonts w:hint="eastAsia" w:ascii="宋体" w:hAnsi="宋体" w:eastAsia="宋体" w:cs="宋体"/>
                <w:szCs w:val="21"/>
              </w:rPr>
              <w:t>保证金的规定：如</w:t>
            </w:r>
            <w:r>
              <w:rPr>
                <w:rFonts w:hint="eastAsia" w:ascii="宋体" w:hAnsi="宋体" w:cs="宋体"/>
                <w:szCs w:val="21"/>
                <w:lang w:eastAsia="zh-CN"/>
              </w:rPr>
              <w:t>供应商</w:t>
            </w:r>
            <w:r>
              <w:rPr>
                <w:rFonts w:hint="eastAsia" w:ascii="宋体" w:hAnsi="宋体" w:eastAsia="宋体" w:cs="宋体"/>
                <w:szCs w:val="21"/>
              </w:rPr>
              <w:t>以保函形式提供</w:t>
            </w:r>
            <w:r>
              <w:rPr>
                <w:rFonts w:hint="eastAsia" w:ascii="宋体" w:hAnsi="宋体" w:cs="宋体"/>
                <w:szCs w:val="21"/>
                <w:lang w:eastAsia="zh-CN"/>
              </w:rPr>
              <w:t>响应</w:t>
            </w:r>
            <w:r>
              <w:rPr>
                <w:rFonts w:hint="eastAsia" w:ascii="宋体" w:hAnsi="宋体" w:eastAsia="宋体" w:cs="宋体"/>
                <w:szCs w:val="21"/>
              </w:rPr>
              <w:t>保证金的，应提供该文件的原件（如</w:t>
            </w:r>
            <w:r>
              <w:rPr>
                <w:rFonts w:hint="eastAsia" w:ascii="宋体" w:hAnsi="宋体" w:cs="宋体"/>
                <w:szCs w:val="21"/>
                <w:lang w:eastAsia="zh-CN"/>
              </w:rPr>
              <w:t>供应商</w:t>
            </w:r>
            <w:r>
              <w:rPr>
                <w:rFonts w:hint="eastAsia" w:ascii="宋体" w:hAnsi="宋体" w:eastAsia="宋体" w:cs="宋体"/>
                <w:szCs w:val="21"/>
              </w:rPr>
              <w:t>提供彩色复印件、扫描件等，均视为未提供）；如</w:t>
            </w:r>
            <w:r>
              <w:rPr>
                <w:rFonts w:hint="eastAsia" w:ascii="宋体" w:hAnsi="宋体" w:cs="宋体"/>
                <w:szCs w:val="21"/>
                <w:lang w:eastAsia="zh-CN"/>
              </w:rPr>
              <w:t>供应商</w:t>
            </w:r>
            <w:r>
              <w:rPr>
                <w:rFonts w:hint="eastAsia" w:ascii="宋体" w:hAnsi="宋体" w:eastAsia="宋体" w:cs="宋体"/>
                <w:szCs w:val="21"/>
              </w:rPr>
              <w:t>以电汇/转账形式，应提供电汇汇款/转账凭证复印件/电子凭证等。</w:t>
            </w:r>
          </w:p>
        </w:tc>
      </w:tr>
      <w:tr w14:paraId="6DCA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9" w:type="dxa"/>
            <w:vMerge w:val="continue"/>
            <w:vAlign w:val="center"/>
          </w:tcPr>
          <w:p w14:paraId="1570613E">
            <w:pPr>
              <w:snapToGrid w:val="0"/>
              <w:ind w:firstLine="420" w:firstLineChars="200"/>
              <w:jc w:val="center"/>
              <w:rPr>
                <w:rFonts w:hint="eastAsia" w:ascii="宋体" w:hAnsi="宋体" w:eastAsia="宋体" w:cs="宋体"/>
                <w:szCs w:val="21"/>
              </w:rPr>
            </w:pPr>
          </w:p>
        </w:tc>
        <w:tc>
          <w:tcPr>
            <w:tcW w:w="992" w:type="dxa"/>
            <w:vMerge w:val="continue"/>
          </w:tcPr>
          <w:p w14:paraId="6C8725D8">
            <w:pPr>
              <w:snapToGrid w:val="0"/>
              <w:jc w:val="center"/>
              <w:rPr>
                <w:rFonts w:hint="eastAsia" w:ascii="宋体" w:hAnsi="宋体" w:eastAsia="宋体" w:cs="宋体"/>
                <w:szCs w:val="21"/>
              </w:rPr>
            </w:pPr>
          </w:p>
        </w:tc>
        <w:tc>
          <w:tcPr>
            <w:tcW w:w="1120" w:type="dxa"/>
            <w:vMerge w:val="restart"/>
            <w:vAlign w:val="center"/>
          </w:tcPr>
          <w:p w14:paraId="13AA6E4F">
            <w:pPr>
              <w:snapToGrid w:val="0"/>
              <w:jc w:val="left"/>
              <w:rPr>
                <w:rFonts w:hint="eastAsia" w:ascii="宋体" w:hAnsi="宋体" w:eastAsia="宋体" w:cs="宋体"/>
                <w:szCs w:val="21"/>
              </w:rPr>
            </w:pPr>
            <w:r>
              <w:rPr>
                <w:rFonts w:hint="eastAsia" w:ascii="宋体" w:hAnsi="宋体" w:eastAsia="宋体" w:cs="宋体"/>
                <w:kern w:val="0"/>
                <w:szCs w:val="21"/>
              </w:rPr>
              <w:t>资格评审</w:t>
            </w:r>
          </w:p>
        </w:tc>
        <w:tc>
          <w:tcPr>
            <w:tcW w:w="1964" w:type="dxa"/>
            <w:vAlign w:val="center"/>
          </w:tcPr>
          <w:p w14:paraId="2A2F3367">
            <w:pPr>
              <w:snapToGrid w:val="0"/>
              <w:jc w:val="center"/>
              <w:rPr>
                <w:rFonts w:hint="eastAsia" w:ascii="宋体" w:hAnsi="宋体" w:eastAsia="宋体" w:cs="宋体"/>
                <w:szCs w:val="21"/>
              </w:rPr>
            </w:pPr>
            <w:r>
              <w:rPr>
                <w:rFonts w:hint="eastAsia" w:ascii="宋体" w:hAnsi="宋体" w:eastAsia="宋体" w:cs="宋体"/>
                <w:kern w:val="0"/>
                <w:szCs w:val="21"/>
              </w:rPr>
              <w:t>资格条件</w:t>
            </w:r>
          </w:p>
        </w:tc>
        <w:tc>
          <w:tcPr>
            <w:tcW w:w="3901" w:type="dxa"/>
            <w:gridSpan w:val="2"/>
            <w:vAlign w:val="center"/>
          </w:tcPr>
          <w:p w14:paraId="613F3D7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（1）供应商应为中华人民共和国境内法律上和财务上独立的法人或依法登记注册的组织，合法运作并独立于采购人和采购代理机构。</w:t>
            </w:r>
          </w:p>
          <w:p w14:paraId="67BA9C4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（2）单位负责人为同一人或者存在控股、管理关系的不同单位，不得参加同一标包响应或者未划分标包的同一采购项目响应。</w:t>
            </w:r>
          </w:p>
          <w:p w14:paraId="363410A2">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（3）须承诺为本项目开具增值税专用发票。（提供承诺）</w:t>
            </w:r>
          </w:p>
          <w:p w14:paraId="00DE8DF0">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（4）本项目不接受联合体响应。</w:t>
            </w:r>
          </w:p>
          <w:p w14:paraId="2ED8FCEE">
            <w:pPr>
              <w:snapToGrid w:val="0"/>
              <w:jc w:val="left"/>
              <w:rPr>
                <w:rFonts w:hint="eastAsia" w:ascii="宋体" w:hAnsi="宋体" w:cs="宋体"/>
                <w:szCs w:val="21"/>
                <w:lang w:eastAsia="zh-CN"/>
              </w:rPr>
            </w:pPr>
            <w:r>
              <w:rPr>
                <w:rFonts w:hint="eastAsia" w:ascii="宋体" w:hAnsi="宋体" w:eastAsia="宋体" w:cs="宋体"/>
                <w:kern w:val="0"/>
                <w:sz w:val="21"/>
                <w:szCs w:val="21"/>
                <w:lang w:val="en-US" w:eastAsia="zh-CN" w:bidi="ar-SA"/>
              </w:rPr>
              <w:t>（5）本项目不接受代理商响应。</w:t>
            </w:r>
          </w:p>
        </w:tc>
      </w:tr>
      <w:tr w14:paraId="360A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9" w:type="dxa"/>
            <w:vMerge w:val="continue"/>
            <w:vAlign w:val="center"/>
          </w:tcPr>
          <w:p w14:paraId="5AF58CA9">
            <w:pPr>
              <w:snapToGrid w:val="0"/>
              <w:ind w:firstLine="420" w:firstLineChars="200"/>
              <w:jc w:val="center"/>
              <w:rPr>
                <w:rFonts w:hint="eastAsia" w:ascii="宋体" w:hAnsi="宋体" w:eastAsia="宋体" w:cs="宋体"/>
                <w:szCs w:val="21"/>
              </w:rPr>
            </w:pPr>
          </w:p>
        </w:tc>
        <w:tc>
          <w:tcPr>
            <w:tcW w:w="992" w:type="dxa"/>
            <w:vMerge w:val="continue"/>
          </w:tcPr>
          <w:p w14:paraId="5ABAC7AC">
            <w:pPr>
              <w:snapToGrid w:val="0"/>
              <w:jc w:val="center"/>
              <w:rPr>
                <w:rFonts w:hint="eastAsia" w:ascii="宋体" w:hAnsi="宋体" w:eastAsia="宋体" w:cs="宋体"/>
                <w:szCs w:val="21"/>
              </w:rPr>
            </w:pPr>
          </w:p>
        </w:tc>
        <w:tc>
          <w:tcPr>
            <w:tcW w:w="1120" w:type="dxa"/>
            <w:vMerge w:val="continue"/>
            <w:vAlign w:val="center"/>
          </w:tcPr>
          <w:p w14:paraId="2C221191">
            <w:pPr>
              <w:snapToGrid w:val="0"/>
              <w:jc w:val="left"/>
              <w:rPr>
                <w:rFonts w:hint="eastAsia" w:ascii="宋体" w:hAnsi="宋体" w:eastAsia="宋体" w:cs="宋体"/>
                <w:kern w:val="0"/>
                <w:szCs w:val="21"/>
              </w:rPr>
            </w:pPr>
          </w:p>
        </w:tc>
        <w:tc>
          <w:tcPr>
            <w:tcW w:w="1964" w:type="dxa"/>
            <w:vAlign w:val="center"/>
          </w:tcPr>
          <w:p w14:paraId="1984092C">
            <w:pPr>
              <w:snapToGrid w:val="0"/>
              <w:jc w:val="center"/>
              <w:rPr>
                <w:rFonts w:hint="eastAsia" w:ascii="宋体" w:hAnsi="宋体" w:eastAsia="宋体" w:cs="宋体"/>
                <w:kern w:val="0"/>
                <w:szCs w:val="21"/>
                <w:lang w:eastAsia="zh-CN"/>
              </w:rPr>
            </w:pPr>
            <w:r>
              <w:rPr>
                <w:rFonts w:hint="eastAsia" w:ascii="宋体" w:hAnsi="宋体" w:eastAsia="宋体" w:cs="宋体"/>
                <w:kern w:val="0"/>
                <w:szCs w:val="21"/>
              </w:rPr>
              <w:t>不得存在的情形</w:t>
            </w:r>
            <w:r>
              <w:rPr>
                <w:rFonts w:hint="eastAsia" w:ascii="宋体" w:hAnsi="宋体" w:eastAsia="宋体" w:cs="宋体"/>
                <w:kern w:val="0"/>
                <w:szCs w:val="21"/>
                <w:lang w:eastAsia="zh-CN"/>
              </w:rPr>
              <w:t>（提供承诺）</w:t>
            </w:r>
          </w:p>
        </w:tc>
        <w:tc>
          <w:tcPr>
            <w:tcW w:w="3901" w:type="dxa"/>
            <w:gridSpan w:val="2"/>
            <w:vAlign w:val="center"/>
          </w:tcPr>
          <w:p w14:paraId="1E7F1E6A">
            <w:pPr>
              <w:snapToGrid w:val="0"/>
              <w:jc w:val="left"/>
              <w:rPr>
                <w:rFonts w:hint="eastAsia" w:ascii="宋体" w:hAnsi="宋体" w:eastAsia="宋体" w:cs="宋体"/>
                <w:kern w:val="0"/>
                <w:szCs w:val="21"/>
              </w:rPr>
            </w:pPr>
            <w:r>
              <w:rPr>
                <w:rFonts w:hint="eastAsia" w:ascii="宋体" w:hAnsi="宋体" w:cs="宋体"/>
                <w:kern w:val="0"/>
                <w:szCs w:val="21"/>
                <w:lang w:eastAsia="zh-CN"/>
              </w:rPr>
              <w:t>供应商</w:t>
            </w:r>
            <w:r>
              <w:rPr>
                <w:rFonts w:hint="eastAsia" w:ascii="宋体" w:hAnsi="宋体" w:eastAsia="宋体" w:cs="宋体"/>
                <w:kern w:val="0"/>
                <w:szCs w:val="21"/>
              </w:rPr>
              <w:t>不得存在下列情形之一：</w:t>
            </w:r>
          </w:p>
          <w:p w14:paraId="53AC23D1">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（1）为采购人不具有独立法人资格的附属机构（单位）；</w:t>
            </w:r>
          </w:p>
          <w:p w14:paraId="3DEC9404">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（2）被依法暂停或取消投标/响应资格的；</w:t>
            </w:r>
          </w:p>
          <w:p w14:paraId="0A9FCFB0">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（3）被责令停产停业、暂扣或者吊销许可证、暂扣或者吊销执照； </w:t>
            </w:r>
          </w:p>
          <w:p w14:paraId="20381CA1">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（4）进入清算程序，或被宣告破产，或其他丧失履约能力的情形； </w:t>
            </w:r>
          </w:p>
          <w:p w14:paraId="4B4100A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（5）在最近三年内[响应截止时间前36个月]被相关行业主管部门或司法机关认定骗取中标/成交、严重违约、重大工程质量或者安全问题的；</w:t>
            </w:r>
          </w:p>
          <w:p w14:paraId="6BBD1EF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（6）在最近五年内（[响应截止时间前60个月]被判处单位行贿罪，且行贿行为与采购活动相关的（以“中国裁判文书网”的生效判决为准）；</w:t>
            </w:r>
          </w:p>
          <w:p w14:paraId="5CE7489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（7）在最近五年内[响应截止时间前60个月]被判处合同诈骗罪的（以“中国裁判文书网”的生效判决为准）；</w:t>
            </w:r>
          </w:p>
          <w:p w14:paraId="7263DBF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（8）被最高人民法院在“信用中国”网站（www.creditchina.gov.cn）或各级信用信息共享平台中列入失信被执行人名单，已执行完毕或不再执行的除外；</w:t>
            </w:r>
          </w:p>
          <w:p w14:paraId="7E6ABD56">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（9）为本询比项目提供过设计、编制技术规范和其他文件的咨询服务；</w:t>
            </w:r>
          </w:p>
          <w:p w14:paraId="6006B9A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（10）为本工程项目的相关监理人，或者与本工程项目的相关监理人存在隶属关系或者其他利害关系；</w:t>
            </w:r>
          </w:p>
          <w:p w14:paraId="4F33EDF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（11）为本询比项目的代建人；</w:t>
            </w:r>
          </w:p>
          <w:p w14:paraId="2B52C46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（12）为本询比项目的采购代理机构；</w:t>
            </w:r>
          </w:p>
          <w:p w14:paraId="2DBB458B">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（13）与本询比项目的监理人或代建人或采购代理机构同为一个法定代表人；</w:t>
            </w:r>
          </w:p>
          <w:p w14:paraId="32540BC7">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（14）与本询比项目的监理人或代建人或采购代理机构存在控股或参股关系；</w:t>
            </w:r>
          </w:p>
          <w:p w14:paraId="675C14F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（15）被工商行政管理机关在国家企业信用信息公示系统中列入严重违法失信企业名单的；</w:t>
            </w:r>
          </w:p>
          <w:p w14:paraId="600C8E88">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（16）中国电信在职员工违规担任供应商法定代表人并参与采购活动的；</w:t>
            </w:r>
          </w:p>
          <w:p w14:paraId="764FB35F">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（17）中国电信集团有限公司/中国电信股份有限公司中层及以上管理人员违反有关领导人员配偶、子女及其配偶经商办企业行为管理规定，其配偶、子女及其配偶经商办企业参与采购活动的；</w:t>
            </w:r>
          </w:p>
          <w:p w14:paraId="66F856A5">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（18）中国电信领导人员离职或退休后三年内违反《国有企业领导人员廉洁从业若干规定》等相关规定任职、投资入股的私营企业、外资企业和中介机构，参与其原任职单位采购活动的；</w:t>
            </w:r>
          </w:p>
          <w:p w14:paraId="74C688C8">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362517BC">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（20）法律法规、询比文件限定的其他情形。</w:t>
            </w:r>
          </w:p>
          <w:p w14:paraId="733818FE">
            <w:pPr>
              <w:snapToGrid w:val="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供应商是代理商的，本条所指的供应商也包括其所代理的制造商；联合体响应的，联合体成员均不得存在上述任一情形。</w:t>
            </w:r>
          </w:p>
        </w:tc>
      </w:tr>
      <w:tr w14:paraId="780FD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9D56721">
            <w:pPr>
              <w:snapToGrid w:val="0"/>
              <w:ind w:firstLine="420" w:firstLineChars="200"/>
              <w:jc w:val="center"/>
              <w:rPr>
                <w:rFonts w:hint="eastAsia" w:ascii="宋体" w:hAnsi="宋体" w:eastAsia="宋体" w:cs="宋体"/>
                <w:szCs w:val="21"/>
              </w:rPr>
            </w:pPr>
          </w:p>
        </w:tc>
        <w:tc>
          <w:tcPr>
            <w:tcW w:w="992" w:type="dxa"/>
            <w:vMerge w:val="continue"/>
          </w:tcPr>
          <w:p w14:paraId="6A009F3A">
            <w:pPr>
              <w:snapToGrid w:val="0"/>
              <w:jc w:val="center"/>
              <w:rPr>
                <w:rFonts w:hint="eastAsia" w:ascii="宋体" w:hAnsi="宋体" w:eastAsia="宋体" w:cs="宋体"/>
                <w:szCs w:val="21"/>
              </w:rPr>
            </w:pPr>
          </w:p>
        </w:tc>
        <w:tc>
          <w:tcPr>
            <w:tcW w:w="1120" w:type="dxa"/>
            <w:vMerge w:val="restart"/>
            <w:vAlign w:val="center"/>
          </w:tcPr>
          <w:p w14:paraId="3EE6675F">
            <w:pPr>
              <w:snapToGrid w:val="0"/>
              <w:jc w:val="left"/>
              <w:rPr>
                <w:rFonts w:hint="eastAsia" w:ascii="宋体" w:hAnsi="宋体" w:eastAsia="宋体" w:cs="宋体"/>
                <w:szCs w:val="21"/>
              </w:rPr>
            </w:pPr>
            <w:r>
              <w:rPr>
                <w:rFonts w:hint="eastAsia" w:ascii="宋体" w:hAnsi="宋体" w:eastAsia="宋体" w:cs="宋体"/>
                <w:kern w:val="0"/>
                <w:szCs w:val="21"/>
              </w:rPr>
              <w:t>响应性评审</w:t>
            </w:r>
          </w:p>
        </w:tc>
        <w:tc>
          <w:tcPr>
            <w:tcW w:w="1964" w:type="dxa"/>
            <w:vAlign w:val="center"/>
          </w:tcPr>
          <w:p w14:paraId="08A88A16">
            <w:pPr>
              <w:snapToGrid w:val="0"/>
              <w:jc w:val="center"/>
              <w:rPr>
                <w:rFonts w:hint="eastAsia" w:ascii="宋体" w:hAnsi="宋体" w:eastAsia="宋体" w:cs="宋体"/>
                <w:szCs w:val="21"/>
              </w:rPr>
            </w:pPr>
            <w:r>
              <w:rPr>
                <w:rFonts w:hint="eastAsia" w:ascii="宋体" w:hAnsi="宋体" w:cs="宋体"/>
                <w:kern w:val="0"/>
                <w:szCs w:val="21"/>
                <w:lang w:eastAsia="zh-CN"/>
              </w:rPr>
              <w:t>响应</w:t>
            </w:r>
            <w:r>
              <w:rPr>
                <w:rFonts w:hint="eastAsia" w:ascii="宋体" w:hAnsi="宋体" w:eastAsia="宋体" w:cs="宋体"/>
                <w:kern w:val="0"/>
                <w:szCs w:val="21"/>
              </w:rPr>
              <w:t>有效期</w:t>
            </w:r>
          </w:p>
        </w:tc>
        <w:tc>
          <w:tcPr>
            <w:tcW w:w="3901" w:type="dxa"/>
            <w:gridSpan w:val="2"/>
            <w:vAlign w:val="center"/>
          </w:tcPr>
          <w:p w14:paraId="2474AD60">
            <w:pPr>
              <w:snapToGrid w:val="0"/>
              <w:jc w:val="left"/>
              <w:rPr>
                <w:rFonts w:hint="eastAsia" w:ascii="宋体" w:hAnsi="宋体" w:eastAsia="宋体" w:cs="宋体"/>
                <w:szCs w:val="21"/>
              </w:rPr>
            </w:pPr>
            <w:r>
              <w:rPr>
                <w:rFonts w:hint="eastAsia" w:ascii="宋体" w:hAnsi="宋体" w:eastAsia="宋体" w:cs="宋体"/>
                <w:szCs w:val="21"/>
              </w:rPr>
              <w:t>满足本次</w:t>
            </w:r>
            <w:r>
              <w:rPr>
                <w:rFonts w:hint="eastAsia" w:ascii="宋体" w:hAnsi="宋体" w:cs="宋体"/>
                <w:szCs w:val="21"/>
                <w:lang w:eastAsia="zh-CN"/>
              </w:rPr>
              <w:t>询比</w:t>
            </w:r>
            <w:r>
              <w:rPr>
                <w:rFonts w:hint="eastAsia" w:ascii="宋体" w:hAnsi="宋体" w:eastAsia="宋体" w:cs="宋体"/>
                <w:szCs w:val="21"/>
              </w:rPr>
              <w:t>要求的</w:t>
            </w:r>
            <w:r>
              <w:rPr>
                <w:rFonts w:hint="eastAsia" w:ascii="宋体" w:hAnsi="宋体" w:cs="宋体"/>
                <w:szCs w:val="21"/>
                <w:lang w:eastAsia="zh-CN"/>
              </w:rPr>
              <w:t>响应</w:t>
            </w:r>
            <w:r>
              <w:rPr>
                <w:rFonts w:hint="eastAsia" w:ascii="宋体" w:hAnsi="宋体" w:eastAsia="宋体" w:cs="宋体"/>
                <w:szCs w:val="21"/>
              </w:rPr>
              <w:t>有效期</w:t>
            </w:r>
          </w:p>
        </w:tc>
      </w:tr>
      <w:tr w14:paraId="48374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07FD1131">
            <w:pPr>
              <w:snapToGrid w:val="0"/>
              <w:ind w:firstLine="420" w:firstLineChars="200"/>
              <w:jc w:val="center"/>
              <w:rPr>
                <w:rFonts w:hint="eastAsia" w:ascii="宋体" w:hAnsi="宋体" w:eastAsia="宋体" w:cs="宋体"/>
                <w:szCs w:val="21"/>
              </w:rPr>
            </w:pPr>
          </w:p>
        </w:tc>
        <w:tc>
          <w:tcPr>
            <w:tcW w:w="992" w:type="dxa"/>
            <w:vMerge w:val="continue"/>
          </w:tcPr>
          <w:p w14:paraId="67627736">
            <w:pPr>
              <w:snapToGrid w:val="0"/>
              <w:jc w:val="center"/>
              <w:rPr>
                <w:rFonts w:hint="eastAsia" w:ascii="宋体" w:hAnsi="宋体" w:eastAsia="宋体" w:cs="宋体"/>
                <w:szCs w:val="21"/>
              </w:rPr>
            </w:pPr>
          </w:p>
        </w:tc>
        <w:tc>
          <w:tcPr>
            <w:tcW w:w="1120" w:type="dxa"/>
            <w:vMerge w:val="continue"/>
            <w:vAlign w:val="center"/>
          </w:tcPr>
          <w:p w14:paraId="2392F0AA">
            <w:pPr>
              <w:snapToGrid w:val="0"/>
              <w:jc w:val="left"/>
              <w:rPr>
                <w:rFonts w:hint="eastAsia" w:ascii="宋体" w:hAnsi="宋体" w:eastAsia="宋体" w:cs="宋体"/>
                <w:kern w:val="0"/>
                <w:szCs w:val="21"/>
              </w:rPr>
            </w:pPr>
          </w:p>
        </w:tc>
        <w:tc>
          <w:tcPr>
            <w:tcW w:w="1964" w:type="dxa"/>
            <w:vAlign w:val="center"/>
          </w:tcPr>
          <w:p w14:paraId="62A7959B">
            <w:pPr>
              <w:snapToGrid w:val="0"/>
              <w:jc w:val="center"/>
              <w:rPr>
                <w:rFonts w:hint="eastAsia" w:ascii="宋体" w:hAnsi="宋体" w:eastAsia="宋体" w:cs="宋体"/>
                <w:szCs w:val="21"/>
              </w:rPr>
            </w:pPr>
            <w:r>
              <w:rPr>
                <w:rFonts w:hint="eastAsia" w:ascii="宋体" w:hAnsi="宋体" w:eastAsia="宋体" w:cs="宋体"/>
                <w:kern w:val="0"/>
                <w:szCs w:val="21"/>
              </w:rPr>
              <w:t>实质性响应</w:t>
            </w:r>
          </w:p>
        </w:tc>
        <w:tc>
          <w:tcPr>
            <w:tcW w:w="3901" w:type="dxa"/>
            <w:gridSpan w:val="2"/>
            <w:vAlign w:val="center"/>
          </w:tcPr>
          <w:p w14:paraId="220DBB4E">
            <w:pPr>
              <w:snapToGrid w:val="0"/>
              <w:jc w:val="left"/>
              <w:rPr>
                <w:rFonts w:hint="eastAsia" w:ascii="宋体" w:hAnsi="宋体" w:eastAsia="宋体" w:cs="宋体"/>
                <w:szCs w:val="21"/>
              </w:rPr>
            </w:pPr>
            <w:r>
              <w:rPr>
                <w:rFonts w:hint="eastAsia" w:ascii="宋体" w:hAnsi="宋体" w:eastAsia="宋体" w:cs="宋体"/>
                <w:kern w:val="0"/>
                <w:szCs w:val="21"/>
              </w:rPr>
              <w:t>满足全部实质性指标规定</w:t>
            </w:r>
          </w:p>
        </w:tc>
      </w:tr>
      <w:tr w14:paraId="59B9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69E8B29">
            <w:pPr>
              <w:snapToGrid w:val="0"/>
              <w:ind w:firstLine="420" w:firstLineChars="200"/>
              <w:jc w:val="center"/>
              <w:rPr>
                <w:rFonts w:hint="eastAsia" w:ascii="宋体" w:hAnsi="宋体" w:eastAsia="宋体" w:cs="宋体"/>
                <w:szCs w:val="21"/>
              </w:rPr>
            </w:pPr>
          </w:p>
        </w:tc>
        <w:tc>
          <w:tcPr>
            <w:tcW w:w="992" w:type="dxa"/>
            <w:vMerge w:val="continue"/>
          </w:tcPr>
          <w:p w14:paraId="3B2C5847">
            <w:pPr>
              <w:snapToGrid w:val="0"/>
              <w:jc w:val="center"/>
              <w:rPr>
                <w:rFonts w:hint="eastAsia" w:ascii="宋体" w:hAnsi="宋体" w:eastAsia="宋体" w:cs="宋体"/>
                <w:szCs w:val="21"/>
              </w:rPr>
            </w:pPr>
          </w:p>
        </w:tc>
        <w:tc>
          <w:tcPr>
            <w:tcW w:w="1120" w:type="dxa"/>
            <w:vMerge w:val="continue"/>
            <w:vAlign w:val="center"/>
          </w:tcPr>
          <w:p w14:paraId="34881524">
            <w:pPr>
              <w:snapToGrid w:val="0"/>
              <w:jc w:val="left"/>
              <w:rPr>
                <w:rFonts w:hint="eastAsia" w:ascii="宋体" w:hAnsi="宋体" w:eastAsia="宋体" w:cs="宋体"/>
                <w:kern w:val="0"/>
                <w:szCs w:val="21"/>
              </w:rPr>
            </w:pPr>
          </w:p>
        </w:tc>
        <w:tc>
          <w:tcPr>
            <w:tcW w:w="1964" w:type="dxa"/>
            <w:vAlign w:val="center"/>
          </w:tcPr>
          <w:p w14:paraId="30A3ECD6">
            <w:pPr>
              <w:snapToGrid w:val="0"/>
              <w:jc w:val="center"/>
              <w:rPr>
                <w:rFonts w:hint="eastAsia" w:ascii="宋体" w:hAnsi="宋体" w:eastAsia="宋体" w:cs="宋体"/>
                <w:szCs w:val="21"/>
              </w:rPr>
            </w:pPr>
            <w:r>
              <w:rPr>
                <w:rFonts w:hint="eastAsia" w:ascii="宋体" w:hAnsi="宋体" w:eastAsia="宋体" w:cs="宋体"/>
                <w:kern w:val="0"/>
                <w:szCs w:val="21"/>
              </w:rPr>
              <w:t>商务报价</w:t>
            </w:r>
          </w:p>
        </w:tc>
        <w:tc>
          <w:tcPr>
            <w:tcW w:w="3901" w:type="dxa"/>
            <w:gridSpan w:val="2"/>
            <w:vAlign w:val="center"/>
          </w:tcPr>
          <w:p w14:paraId="26AF2223">
            <w:pPr>
              <w:snapToGrid w:val="0"/>
              <w:jc w:val="left"/>
              <w:rPr>
                <w:rFonts w:hint="eastAsia" w:ascii="宋体" w:hAnsi="宋体" w:eastAsia="宋体" w:cs="宋体"/>
                <w:szCs w:val="21"/>
              </w:rPr>
            </w:pPr>
            <w:r>
              <w:rPr>
                <w:rFonts w:hint="eastAsia" w:ascii="宋体" w:hAnsi="宋体" w:eastAsia="宋体" w:cs="宋体"/>
                <w:szCs w:val="21"/>
              </w:rPr>
              <w:t>满足本次</w:t>
            </w:r>
            <w:r>
              <w:rPr>
                <w:rFonts w:hint="eastAsia" w:ascii="宋体" w:hAnsi="宋体" w:cs="宋体"/>
                <w:szCs w:val="21"/>
                <w:lang w:eastAsia="zh-CN"/>
              </w:rPr>
              <w:t>询比</w:t>
            </w:r>
            <w:r>
              <w:rPr>
                <w:rFonts w:hint="eastAsia" w:ascii="宋体" w:hAnsi="宋体" w:eastAsia="宋体" w:cs="宋体"/>
                <w:szCs w:val="21"/>
              </w:rPr>
              <w:t>的报价要求，未超过最高限价，且是唯一报价。</w:t>
            </w:r>
          </w:p>
        </w:tc>
      </w:tr>
      <w:tr w14:paraId="2EDB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77CEFF7C">
            <w:pPr>
              <w:snapToGrid w:val="0"/>
              <w:ind w:firstLine="420" w:firstLineChars="200"/>
              <w:jc w:val="center"/>
              <w:rPr>
                <w:rFonts w:hint="eastAsia" w:ascii="宋体" w:hAnsi="宋体" w:eastAsia="宋体" w:cs="宋体"/>
                <w:szCs w:val="21"/>
              </w:rPr>
            </w:pPr>
          </w:p>
        </w:tc>
        <w:tc>
          <w:tcPr>
            <w:tcW w:w="992" w:type="dxa"/>
            <w:vMerge w:val="continue"/>
          </w:tcPr>
          <w:p w14:paraId="157B7A18">
            <w:pPr>
              <w:snapToGrid w:val="0"/>
              <w:jc w:val="center"/>
              <w:rPr>
                <w:rFonts w:hint="eastAsia" w:ascii="宋体" w:hAnsi="宋体" w:eastAsia="宋体" w:cs="宋体"/>
                <w:szCs w:val="21"/>
              </w:rPr>
            </w:pPr>
          </w:p>
        </w:tc>
        <w:tc>
          <w:tcPr>
            <w:tcW w:w="1120" w:type="dxa"/>
            <w:vMerge w:val="continue"/>
            <w:vAlign w:val="center"/>
          </w:tcPr>
          <w:p w14:paraId="2FE277AA">
            <w:pPr>
              <w:snapToGrid w:val="0"/>
              <w:jc w:val="left"/>
              <w:rPr>
                <w:rFonts w:hint="eastAsia" w:ascii="宋体" w:hAnsi="宋体" w:eastAsia="宋体" w:cs="宋体"/>
                <w:kern w:val="0"/>
                <w:szCs w:val="21"/>
              </w:rPr>
            </w:pPr>
          </w:p>
        </w:tc>
        <w:tc>
          <w:tcPr>
            <w:tcW w:w="1964" w:type="dxa"/>
            <w:vAlign w:val="center"/>
          </w:tcPr>
          <w:p w14:paraId="311202CF">
            <w:pPr>
              <w:snapToGrid w:val="0"/>
              <w:jc w:val="center"/>
              <w:rPr>
                <w:rFonts w:hint="eastAsia" w:ascii="宋体" w:hAnsi="宋体" w:eastAsia="宋体" w:cs="宋体"/>
                <w:kern w:val="0"/>
                <w:szCs w:val="21"/>
              </w:rPr>
            </w:pPr>
            <w:r>
              <w:rPr>
                <w:rFonts w:hint="eastAsia" w:ascii="宋体" w:hAnsi="宋体" w:eastAsia="宋体" w:cs="宋体"/>
                <w:szCs w:val="21"/>
              </w:rPr>
              <w:t>廉洁承诺书</w:t>
            </w:r>
          </w:p>
        </w:tc>
        <w:tc>
          <w:tcPr>
            <w:tcW w:w="3901" w:type="dxa"/>
            <w:gridSpan w:val="2"/>
            <w:vAlign w:val="center"/>
          </w:tcPr>
          <w:p w14:paraId="1FBD743A">
            <w:pPr>
              <w:snapToGrid w:val="0"/>
              <w:jc w:val="left"/>
              <w:rPr>
                <w:rFonts w:hint="eastAsia" w:ascii="宋体" w:hAnsi="宋体" w:eastAsia="宋体" w:cs="宋体"/>
                <w:szCs w:val="21"/>
              </w:rPr>
            </w:pPr>
            <w:r>
              <w:rPr>
                <w:rFonts w:hint="eastAsia" w:ascii="宋体" w:hAnsi="宋体" w:eastAsia="宋体" w:cs="宋体"/>
                <w:szCs w:val="21"/>
              </w:rPr>
              <w:t>按</w:t>
            </w:r>
            <w:r>
              <w:rPr>
                <w:rFonts w:hint="eastAsia" w:ascii="宋体" w:hAnsi="宋体" w:cs="宋体"/>
                <w:szCs w:val="21"/>
                <w:lang w:eastAsia="zh-CN"/>
              </w:rPr>
              <w:t>询比</w:t>
            </w:r>
            <w:r>
              <w:rPr>
                <w:rFonts w:hint="eastAsia" w:ascii="宋体" w:hAnsi="宋体" w:eastAsia="宋体" w:cs="宋体"/>
                <w:szCs w:val="21"/>
              </w:rPr>
              <w:t>文件第六章“</w:t>
            </w:r>
            <w:r>
              <w:rPr>
                <w:rFonts w:hint="eastAsia" w:ascii="宋体" w:hAnsi="宋体" w:cs="宋体"/>
                <w:szCs w:val="21"/>
                <w:lang w:eastAsia="zh-CN"/>
              </w:rPr>
              <w:t>响应</w:t>
            </w:r>
            <w:r>
              <w:rPr>
                <w:rFonts w:hint="eastAsia" w:ascii="宋体" w:hAnsi="宋体" w:eastAsia="宋体" w:cs="宋体"/>
                <w:szCs w:val="21"/>
              </w:rPr>
              <w:t>文件格式”格式提供廉洁承诺书</w:t>
            </w:r>
          </w:p>
        </w:tc>
      </w:tr>
      <w:tr w14:paraId="1846E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257124F6">
            <w:pPr>
              <w:snapToGrid w:val="0"/>
              <w:ind w:firstLine="420" w:firstLineChars="200"/>
              <w:jc w:val="center"/>
              <w:rPr>
                <w:rFonts w:hint="eastAsia" w:ascii="宋体" w:hAnsi="宋体" w:eastAsia="宋体" w:cs="宋体"/>
                <w:szCs w:val="21"/>
              </w:rPr>
            </w:pPr>
          </w:p>
        </w:tc>
        <w:tc>
          <w:tcPr>
            <w:tcW w:w="992" w:type="dxa"/>
            <w:vMerge w:val="continue"/>
          </w:tcPr>
          <w:p w14:paraId="2A61F6AF">
            <w:pPr>
              <w:snapToGrid w:val="0"/>
              <w:jc w:val="center"/>
              <w:rPr>
                <w:rFonts w:hint="eastAsia" w:ascii="宋体" w:hAnsi="宋体" w:eastAsia="宋体" w:cs="宋体"/>
                <w:szCs w:val="21"/>
              </w:rPr>
            </w:pPr>
          </w:p>
        </w:tc>
        <w:tc>
          <w:tcPr>
            <w:tcW w:w="1120" w:type="dxa"/>
            <w:vMerge w:val="continue"/>
            <w:vAlign w:val="center"/>
          </w:tcPr>
          <w:p w14:paraId="79DE128A">
            <w:pPr>
              <w:snapToGrid w:val="0"/>
              <w:jc w:val="left"/>
              <w:rPr>
                <w:rFonts w:hint="eastAsia" w:ascii="宋体" w:hAnsi="宋体" w:eastAsia="宋体" w:cs="宋体"/>
                <w:kern w:val="0"/>
                <w:szCs w:val="21"/>
              </w:rPr>
            </w:pPr>
          </w:p>
        </w:tc>
        <w:tc>
          <w:tcPr>
            <w:tcW w:w="1964" w:type="dxa"/>
            <w:vAlign w:val="center"/>
          </w:tcPr>
          <w:p w14:paraId="73BA9C0F">
            <w:pPr>
              <w:snapToGrid w:val="0"/>
              <w:jc w:val="left"/>
              <w:rPr>
                <w:rFonts w:hint="eastAsia" w:ascii="宋体" w:hAnsi="宋体" w:eastAsia="宋体" w:cs="宋体"/>
                <w:kern w:val="0"/>
                <w:szCs w:val="21"/>
              </w:rPr>
            </w:pPr>
            <w:r>
              <w:rPr>
                <w:rFonts w:hint="eastAsia" w:ascii="宋体" w:hAnsi="宋体" w:cs="宋体"/>
                <w:color w:val="000000" w:themeColor="text1"/>
                <w:kern w:val="0"/>
                <w:szCs w:val="21"/>
                <w:lang w:val="en-US" w:eastAsia="zh-CN"/>
                <w14:textFill>
                  <w14:solidFill>
                    <w14:schemeClr w14:val="tx1"/>
                  </w14:solidFill>
                </w14:textFill>
              </w:rPr>
              <w:t>商务及</w:t>
            </w:r>
            <w:r>
              <w:rPr>
                <w:rFonts w:hint="eastAsia" w:ascii="宋体" w:hAnsi="宋体" w:cs="宋体"/>
                <w:color w:val="000000" w:themeColor="text1"/>
                <w:kern w:val="0"/>
                <w:szCs w:val="21"/>
                <w14:textFill>
                  <w14:solidFill>
                    <w14:schemeClr w14:val="tx1"/>
                  </w14:solidFill>
                </w14:textFill>
              </w:rPr>
              <w:t>合同条款</w:t>
            </w:r>
          </w:p>
        </w:tc>
        <w:tc>
          <w:tcPr>
            <w:tcW w:w="3901" w:type="dxa"/>
            <w:gridSpan w:val="2"/>
            <w:vAlign w:val="center"/>
          </w:tcPr>
          <w:p w14:paraId="351F7AED">
            <w:pPr>
              <w:snapToGrid w:val="0"/>
              <w:jc w:val="left"/>
              <w:rPr>
                <w:rFonts w:hint="eastAsia" w:ascii="宋体" w:hAnsi="宋体" w:eastAsia="宋体" w:cs="宋体"/>
                <w:szCs w:val="21"/>
              </w:rPr>
            </w:pPr>
            <w:r>
              <w:rPr>
                <w:rFonts w:hint="eastAsia" w:ascii="宋体" w:hAnsi="宋体" w:cs="宋体"/>
                <w:szCs w:val="21"/>
              </w:rPr>
              <w:t>商务及合同条款必须全部满足或正偏离，按</w:t>
            </w:r>
            <w:r>
              <w:rPr>
                <w:rFonts w:hint="eastAsia" w:ascii="宋体" w:hAnsi="宋体" w:cs="宋体"/>
                <w:szCs w:val="21"/>
                <w:lang w:val="en-US" w:eastAsia="zh-CN"/>
              </w:rPr>
              <w:t>询比</w:t>
            </w:r>
            <w:r>
              <w:rPr>
                <w:rFonts w:hint="eastAsia" w:ascii="宋体" w:hAnsi="宋体" w:cs="宋体"/>
                <w:szCs w:val="21"/>
              </w:rPr>
              <w:t>文件第六章“</w:t>
            </w:r>
            <w:r>
              <w:rPr>
                <w:rFonts w:hint="eastAsia" w:ascii="宋体" w:hAnsi="宋体" w:cs="宋体"/>
                <w:szCs w:val="21"/>
                <w:lang w:val="en-US" w:eastAsia="zh-CN"/>
              </w:rPr>
              <w:t>响应</w:t>
            </w:r>
            <w:r>
              <w:rPr>
                <w:rFonts w:hint="eastAsia" w:ascii="宋体" w:hAnsi="宋体" w:cs="宋体"/>
                <w:szCs w:val="21"/>
              </w:rPr>
              <w:t>文件格式”要求提供商务条款偏离表、合同条款偏离表。</w:t>
            </w:r>
          </w:p>
        </w:tc>
      </w:tr>
      <w:tr w14:paraId="52A5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4F50FA3C">
            <w:pPr>
              <w:snapToGrid w:val="0"/>
              <w:ind w:firstLine="420" w:firstLineChars="200"/>
              <w:jc w:val="center"/>
              <w:rPr>
                <w:rFonts w:hint="eastAsia" w:ascii="宋体" w:hAnsi="宋体" w:eastAsia="宋体" w:cs="宋体"/>
                <w:szCs w:val="21"/>
              </w:rPr>
            </w:pPr>
          </w:p>
        </w:tc>
        <w:tc>
          <w:tcPr>
            <w:tcW w:w="992" w:type="dxa"/>
            <w:vMerge w:val="continue"/>
          </w:tcPr>
          <w:p w14:paraId="36740905">
            <w:pPr>
              <w:snapToGrid w:val="0"/>
              <w:jc w:val="center"/>
              <w:rPr>
                <w:rFonts w:hint="eastAsia" w:ascii="宋体" w:hAnsi="宋体" w:eastAsia="宋体" w:cs="宋体"/>
                <w:szCs w:val="21"/>
              </w:rPr>
            </w:pPr>
          </w:p>
        </w:tc>
        <w:tc>
          <w:tcPr>
            <w:tcW w:w="1120" w:type="dxa"/>
            <w:vMerge w:val="continue"/>
            <w:vAlign w:val="center"/>
          </w:tcPr>
          <w:p w14:paraId="513B22A2">
            <w:pPr>
              <w:snapToGrid w:val="0"/>
              <w:jc w:val="left"/>
              <w:rPr>
                <w:rFonts w:hint="eastAsia" w:ascii="宋体" w:hAnsi="宋体" w:eastAsia="宋体" w:cs="宋体"/>
                <w:kern w:val="0"/>
                <w:szCs w:val="21"/>
              </w:rPr>
            </w:pPr>
          </w:p>
        </w:tc>
        <w:tc>
          <w:tcPr>
            <w:tcW w:w="1964" w:type="dxa"/>
            <w:vAlign w:val="center"/>
          </w:tcPr>
          <w:p w14:paraId="27722FB4">
            <w:pPr>
              <w:snapToGrid w:val="0"/>
              <w:jc w:val="center"/>
              <w:rPr>
                <w:rFonts w:hint="eastAsia" w:ascii="宋体" w:hAnsi="宋体" w:eastAsia="宋体" w:cs="宋体"/>
                <w:szCs w:val="21"/>
              </w:rPr>
            </w:pPr>
            <w:r>
              <w:rPr>
                <w:rFonts w:hint="eastAsia" w:cs="宋体" w:asciiTheme="minorEastAsia" w:hAnsiTheme="minorEastAsia" w:eastAsiaTheme="minorEastAsia"/>
                <w:kern w:val="0"/>
                <w:szCs w:val="21"/>
                <w:highlight w:val="none"/>
              </w:rPr>
              <w:t>技术条款</w:t>
            </w:r>
          </w:p>
        </w:tc>
        <w:tc>
          <w:tcPr>
            <w:tcW w:w="3901" w:type="dxa"/>
            <w:gridSpan w:val="2"/>
            <w:vAlign w:val="center"/>
          </w:tcPr>
          <w:p w14:paraId="1301E85B">
            <w:pPr>
              <w:snapToGrid w:val="0"/>
              <w:jc w:val="left"/>
              <w:rPr>
                <w:rFonts w:hint="eastAsia" w:ascii="宋体" w:hAnsi="宋体" w:eastAsia="宋体" w:cs="宋体"/>
                <w:szCs w:val="21"/>
              </w:rPr>
            </w:pPr>
            <w:r>
              <w:rPr>
                <w:rFonts w:hint="eastAsia" w:cs="宋体" w:asciiTheme="minorEastAsia" w:hAnsiTheme="minorEastAsia" w:eastAsiaTheme="minorEastAsia"/>
                <w:kern w:val="0"/>
                <w:szCs w:val="21"/>
                <w:highlight w:val="none"/>
              </w:rPr>
              <w:t>按</w:t>
            </w:r>
            <w:r>
              <w:rPr>
                <w:rFonts w:hint="eastAsia" w:cs="宋体" w:asciiTheme="minorEastAsia" w:hAnsiTheme="minorEastAsia" w:eastAsiaTheme="minorEastAsia"/>
                <w:kern w:val="0"/>
                <w:szCs w:val="21"/>
                <w:highlight w:val="none"/>
                <w:lang w:val="en-US" w:eastAsia="zh-CN"/>
              </w:rPr>
              <w:t>采购</w:t>
            </w:r>
            <w:r>
              <w:rPr>
                <w:rFonts w:hint="eastAsia" w:cs="宋体" w:asciiTheme="minorEastAsia" w:hAnsiTheme="minorEastAsia" w:eastAsiaTheme="minorEastAsia"/>
                <w:kern w:val="0"/>
                <w:szCs w:val="21"/>
                <w:highlight w:val="none"/>
              </w:rPr>
              <w:t>文件第六章“</w:t>
            </w:r>
            <w:r>
              <w:rPr>
                <w:rFonts w:hint="eastAsia" w:cs="宋体" w:asciiTheme="minorEastAsia" w:hAnsiTheme="minorEastAsia" w:eastAsiaTheme="minorEastAsia"/>
                <w:kern w:val="0"/>
                <w:szCs w:val="21"/>
                <w:highlight w:val="none"/>
                <w:lang w:val="en-US" w:eastAsia="zh-CN"/>
              </w:rPr>
              <w:t>响应</w:t>
            </w:r>
            <w:r>
              <w:rPr>
                <w:rFonts w:hint="eastAsia" w:cs="宋体" w:asciiTheme="minorEastAsia" w:hAnsiTheme="minorEastAsia" w:eastAsiaTheme="minorEastAsia"/>
                <w:kern w:val="0"/>
                <w:szCs w:val="21"/>
                <w:highlight w:val="none"/>
              </w:rPr>
              <w:t>文件格式”要求提供技术条款偏离表</w:t>
            </w:r>
          </w:p>
        </w:tc>
      </w:tr>
      <w:tr w14:paraId="6F123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52B77806">
            <w:pPr>
              <w:snapToGrid w:val="0"/>
              <w:ind w:firstLine="420" w:firstLineChars="200"/>
              <w:jc w:val="center"/>
              <w:rPr>
                <w:rFonts w:hint="eastAsia" w:ascii="宋体" w:hAnsi="宋体" w:eastAsia="宋体" w:cs="宋体"/>
                <w:szCs w:val="21"/>
              </w:rPr>
            </w:pPr>
          </w:p>
        </w:tc>
        <w:tc>
          <w:tcPr>
            <w:tcW w:w="992" w:type="dxa"/>
            <w:vMerge w:val="continue"/>
          </w:tcPr>
          <w:p w14:paraId="15FD7603">
            <w:pPr>
              <w:snapToGrid w:val="0"/>
              <w:jc w:val="center"/>
              <w:rPr>
                <w:rFonts w:hint="eastAsia" w:ascii="宋体" w:hAnsi="宋体" w:eastAsia="宋体" w:cs="宋体"/>
                <w:szCs w:val="21"/>
              </w:rPr>
            </w:pPr>
          </w:p>
        </w:tc>
        <w:tc>
          <w:tcPr>
            <w:tcW w:w="1120" w:type="dxa"/>
            <w:vMerge w:val="continue"/>
            <w:vAlign w:val="center"/>
          </w:tcPr>
          <w:p w14:paraId="15C0707E">
            <w:pPr>
              <w:snapToGrid w:val="0"/>
              <w:jc w:val="left"/>
              <w:rPr>
                <w:rFonts w:hint="eastAsia" w:ascii="宋体" w:hAnsi="宋体" w:eastAsia="宋体" w:cs="宋体"/>
                <w:kern w:val="0"/>
                <w:szCs w:val="21"/>
              </w:rPr>
            </w:pPr>
          </w:p>
        </w:tc>
        <w:tc>
          <w:tcPr>
            <w:tcW w:w="1964" w:type="dxa"/>
            <w:vAlign w:val="center"/>
          </w:tcPr>
          <w:p w14:paraId="4FFEC075">
            <w:pPr>
              <w:snapToGrid w:val="0"/>
              <w:jc w:val="center"/>
              <w:rPr>
                <w:rFonts w:hint="eastAsia" w:ascii="宋体" w:hAnsi="宋体" w:eastAsia="宋体" w:cs="宋体"/>
                <w:kern w:val="0"/>
                <w:szCs w:val="21"/>
              </w:rPr>
            </w:pPr>
            <w:r>
              <w:rPr>
                <w:rFonts w:hint="eastAsia" w:ascii="宋体" w:hAnsi="宋体" w:eastAsia="宋体" w:cs="宋体"/>
                <w:szCs w:val="21"/>
              </w:rPr>
              <w:t>非实质性响应</w:t>
            </w:r>
          </w:p>
        </w:tc>
        <w:tc>
          <w:tcPr>
            <w:tcW w:w="3901" w:type="dxa"/>
            <w:gridSpan w:val="2"/>
            <w:vAlign w:val="center"/>
          </w:tcPr>
          <w:p w14:paraId="612BEB68">
            <w:pPr>
              <w:snapToGrid w:val="0"/>
              <w:jc w:val="left"/>
              <w:rPr>
                <w:rFonts w:hint="eastAsia" w:ascii="宋体" w:hAnsi="宋体" w:eastAsia="宋体" w:cs="宋体"/>
                <w:szCs w:val="21"/>
              </w:rPr>
            </w:pPr>
            <w:r>
              <w:rPr>
                <w:rFonts w:hint="eastAsia" w:ascii="宋体" w:hAnsi="宋体" w:eastAsia="宋体" w:cs="宋体"/>
                <w:szCs w:val="21"/>
              </w:rPr>
              <w:t>没有超出非实质性要求和条件允许偏差的最大范围、最高项数和调整偏差的方法</w:t>
            </w:r>
          </w:p>
        </w:tc>
      </w:tr>
      <w:tr w14:paraId="2A8C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24AC0E36">
            <w:pPr>
              <w:snapToGrid w:val="0"/>
              <w:ind w:firstLine="420" w:firstLineChars="200"/>
              <w:jc w:val="center"/>
              <w:rPr>
                <w:rFonts w:hint="eastAsia" w:ascii="宋体" w:hAnsi="宋体" w:eastAsia="宋体" w:cs="宋体"/>
                <w:szCs w:val="21"/>
              </w:rPr>
            </w:pPr>
          </w:p>
        </w:tc>
        <w:tc>
          <w:tcPr>
            <w:tcW w:w="992" w:type="dxa"/>
            <w:vMerge w:val="continue"/>
          </w:tcPr>
          <w:p w14:paraId="61179FE7">
            <w:pPr>
              <w:snapToGrid w:val="0"/>
              <w:jc w:val="center"/>
              <w:rPr>
                <w:rFonts w:hint="eastAsia" w:ascii="宋体" w:hAnsi="宋体" w:eastAsia="宋体" w:cs="宋体"/>
                <w:szCs w:val="21"/>
              </w:rPr>
            </w:pPr>
          </w:p>
        </w:tc>
        <w:tc>
          <w:tcPr>
            <w:tcW w:w="1120" w:type="dxa"/>
            <w:vMerge w:val="continue"/>
            <w:vAlign w:val="center"/>
          </w:tcPr>
          <w:p w14:paraId="03D81CA7">
            <w:pPr>
              <w:snapToGrid w:val="0"/>
              <w:jc w:val="left"/>
              <w:rPr>
                <w:rFonts w:hint="eastAsia" w:ascii="宋体" w:hAnsi="宋体" w:eastAsia="宋体" w:cs="宋体"/>
                <w:kern w:val="0"/>
                <w:szCs w:val="21"/>
              </w:rPr>
            </w:pPr>
          </w:p>
        </w:tc>
        <w:tc>
          <w:tcPr>
            <w:tcW w:w="1964" w:type="dxa"/>
            <w:vAlign w:val="center"/>
          </w:tcPr>
          <w:p w14:paraId="31653833">
            <w:pPr>
              <w:snapToGrid w:val="0"/>
              <w:jc w:val="center"/>
              <w:rPr>
                <w:rFonts w:hint="eastAsia" w:ascii="宋体" w:hAnsi="宋体" w:eastAsia="宋体" w:cs="宋体"/>
                <w:kern w:val="0"/>
                <w:szCs w:val="21"/>
              </w:rPr>
            </w:pPr>
            <w:r>
              <w:rPr>
                <w:rFonts w:hint="eastAsia" w:ascii="宋体" w:hAnsi="宋体" w:eastAsia="宋体" w:cs="宋体"/>
                <w:szCs w:val="21"/>
              </w:rPr>
              <w:t>其它要求</w:t>
            </w:r>
          </w:p>
        </w:tc>
        <w:tc>
          <w:tcPr>
            <w:tcW w:w="3901" w:type="dxa"/>
            <w:gridSpan w:val="2"/>
            <w:vAlign w:val="center"/>
          </w:tcPr>
          <w:p w14:paraId="052A532C">
            <w:pPr>
              <w:snapToGrid w:val="0"/>
              <w:jc w:val="left"/>
              <w:rPr>
                <w:rFonts w:hint="eastAsia" w:ascii="宋体" w:hAnsi="宋体" w:eastAsia="宋体" w:cs="宋体"/>
                <w:szCs w:val="21"/>
              </w:rPr>
            </w:pPr>
            <w:r>
              <w:rPr>
                <w:rFonts w:hint="eastAsia" w:ascii="宋体" w:hAnsi="宋体" w:eastAsia="宋体" w:cs="宋体"/>
                <w:szCs w:val="21"/>
              </w:rPr>
              <w:t>无</w:t>
            </w:r>
            <w:r>
              <w:rPr>
                <w:rFonts w:hint="eastAsia" w:ascii="宋体" w:hAnsi="宋体" w:cs="宋体"/>
                <w:szCs w:val="21"/>
                <w:lang w:eastAsia="zh-CN"/>
              </w:rPr>
              <w:t>询比</w:t>
            </w:r>
            <w:r>
              <w:rPr>
                <w:rFonts w:hint="eastAsia" w:ascii="宋体" w:hAnsi="宋体" w:eastAsia="宋体" w:cs="宋体"/>
                <w:szCs w:val="21"/>
              </w:rPr>
              <w:t>文件或相关法律法规规定的无效</w:t>
            </w:r>
            <w:r>
              <w:rPr>
                <w:rFonts w:hint="eastAsia" w:ascii="宋体" w:hAnsi="宋体" w:cs="宋体"/>
                <w:szCs w:val="21"/>
                <w:lang w:eastAsia="zh-CN"/>
              </w:rPr>
              <w:t>响应</w:t>
            </w:r>
            <w:r>
              <w:rPr>
                <w:rFonts w:hint="eastAsia" w:ascii="宋体" w:hAnsi="宋体" w:eastAsia="宋体" w:cs="宋体"/>
                <w:szCs w:val="21"/>
              </w:rPr>
              <w:t>或否决</w:t>
            </w:r>
            <w:r>
              <w:rPr>
                <w:rFonts w:hint="eastAsia" w:ascii="宋体" w:hAnsi="宋体" w:cs="宋体"/>
                <w:szCs w:val="21"/>
                <w:lang w:eastAsia="zh-CN"/>
              </w:rPr>
              <w:t>响应</w:t>
            </w:r>
            <w:r>
              <w:rPr>
                <w:rFonts w:hint="eastAsia" w:ascii="宋体" w:hAnsi="宋体" w:eastAsia="宋体" w:cs="宋体"/>
                <w:szCs w:val="21"/>
              </w:rPr>
              <w:t>项</w:t>
            </w:r>
          </w:p>
        </w:tc>
      </w:tr>
      <w:tr w14:paraId="6944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restart"/>
            <w:vAlign w:val="center"/>
          </w:tcPr>
          <w:p w14:paraId="3B3EAFFA">
            <w:pPr>
              <w:snapToGrid w:val="0"/>
              <w:jc w:val="center"/>
              <w:rPr>
                <w:rFonts w:hint="eastAsia" w:ascii="宋体" w:hAnsi="宋体" w:eastAsia="宋体" w:cs="宋体"/>
                <w:szCs w:val="21"/>
              </w:rPr>
            </w:pPr>
            <w:r>
              <w:rPr>
                <w:rFonts w:hint="eastAsia" w:ascii="宋体" w:hAnsi="宋体" w:eastAsia="宋体" w:cs="宋体"/>
                <w:szCs w:val="21"/>
              </w:rPr>
              <w:t>2.2</w:t>
            </w:r>
          </w:p>
        </w:tc>
        <w:tc>
          <w:tcPr>
            <w:tcW w:w="992" w:type="dxa"/>
            <w:vMerge w:val="restart"/>
            <w:vAlign w:val="center"/>
          </w:tcPr>
          <w:p w14:paraId="3DB7CC4E">
            <w:pPr>
              <w:snapToGrid w:val="0"/>
              <w:jc w:val="center"/>
              <w:rPr>
                <w:rFonts w:hint="eastAsia" w:ascii="宋体" w:hAnsi="宋体" w:eastAsia="宋体" w:cs="宋体"/>
                <w:kern w:val="0"/>
                <w:szCs w:val="21"/>
              </w:rPr>
            </w:pPr>
            <w:r>
              <w:rPr>
                <w:rFonts w:hint="eastAsia" w:ascii="宋体" w:hAnsi="宋体" w:eastAsia="宋体" w:cs="宋体"/>
                <w:kern w:val="0"/>
                <w:szCs w:val="21"/>
              </w:rPr>
              <w:t>详细评审</w:t>
            </w:r>
          </w:p>
        </w:tc>
        <w:tc>
          <w:tcPr>
            <w:tcW w:w="1120" w:type="dxa"/>
            <w:vAlign w:val="center"/>
          </w:tcPr>
          <w:p w14:paraId="3898EDB8">
            <w:pPr>
              <w:snapToGrid w:val="0"/>
              <w:jc w:val="left"/>
              <w:rPr>
                <w:rFonts w:hint="eastAsia" w:ascii="宋体" w:hAnsi="宋体" w:eastAsia="宋体" w:cs="宋体"/>
                <w:kern w:val="0"/>
                <w:szCs w:val="21"/>
              </w:rPr>
            </w:pPr>
            <w:r>
              <w:rPr>
                <w:rFonts w:hint="eastAsia" w:ascii="宋体" w:hAnsi="宋体" w:eastAsia="宋体" w:cs="宋体"/>
                <w:kern w:val="0"/>
                <w:szCs w:val="21"/>
              </w:rPr>
              <w:t>评审内容</w:t>
            </w:r>
          </w:p>
        </w:tc>
        <w:tc>
          <w:tcPr>
            <w:tcW w:w="1964" w:type="dxa"/>
            <w:vAlign w:val="center"/>
          </w:tcPr>
          <w:p w14:paraId="29D3EBB0">
            <w:pPr>
              <w:snapToGrid w:val="0"/>
              <w:jc w:val="center"/>
              <w:rPr>
                <w:rFonts w:hint="eastAsia" w:ascii="宋体" w:hAnsi="宋体" w:eastAsia="宋体" w:cs="宋体"/>
                <w:kern w:val="0"/>
                <w:szCs w:val="21"/>
              </w:rPr>
            </w:pPr>
            <w:r>
              <w:rPr>
                <w:rFonts w:hint="eastAsia" w:ascii="宋体" w:hAnsi="宋体" w:eastAsia="宋体" w:cs="宋体"/>
                <w:kern w:val="0"/>
                <w:szCs w:val="21"/>
              </w:rPr>
              <w:t>评分因素</w:t>
            </w:r>
          </w:p>
        </w:tc>
        <w:tc>
          <w:tcPr>
            <w:tcW w:w="757" w:type="dxa"/>
            <w:vAlign w:val="center"/>
          </w:tcPr>
          <w:p w14:paraId="0562453B">
            <w:pPr>
              <w:snapToGrid w:val="0"/>
              <w:jc w:val="center"/>
              <w:rPr>
                <w:rFonts w:hint="eastAsia" w:ascii="宋体" w:hAnsi="宋体" w:eastAsia="宋体" w:cs="宋体"/>
                <w:kern w:val="0"/>
                <w:szCs w:val="21"/>
              </w:rPr>
            </w:pPr>
            <w:r>
              <w:rPr>
                <w:rFonts w:hint="eastAsia" w:ascii="宋体" w:hAnsi="宋体" w:eastAsia="宋体" w:cs="宋体"/>
                <w:kern w:val="0"/>
                <w:szCs w:val="21"/>
              </w:rPr>
              <w:t>分值</w:t>
            </w:r>
          </w:p>
        </w:tc>
        <w:tc>
          <w:tcPr>
            <w:tcW w:w="3144" w:type="dxa"/>
            <w:vAlign w:val="center"/>
          </w:tcPr>
          <w:p w14:paraId="6B105A77">
            <w:pPr>
              <w:snapToGrid w:val="0"/>
              <w:jc w:val="center"/>
              <w:rPr>
                <w:rFonts w:hint="eastAsia" w:ascii="宋体" w:hAnsi="宋体" w:eastAsia="宋体" w:cs="宋体"/>
                <w:kern w:val="0"/>
                <w:szCs w:val="21"/>
              </w:rPr>
            </w:pPr>
            <w:r>
              <w:rPr>
                <w:rFonts w:hint="eastAsia" w:ascii="宋体" w:hAnsi="宋体" w:eastAsia="宋体" w:cs="宋体"/>
                <w:kern w:val="0"/>
                <w:szCs w:val="21"/>
              </w:rPr>
              <w:t>评分标准</w:t>
            </w:r>
          </w:p>
        </w:tc>
      </w:tr>
      <w:tr w14:paraId="1A2E2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E687B00">
            <w:pPr>
              <w:snapToGrid w:val="0"/>
              <w:jc w:val="center"/>
              <w:rPr>
                <w:rFonts w:hint="eastAsia" w:ascii="宋体" w:hAnsi="宋体" w:eastAsia="宋体" w:cs="宋体"/>
                <w:szCs w:val="21"/>
              </w:rPr>
            </w:pPr>
          </w:p>
        </w:tc>
        <w:tc>
          <w:tcPr>
            <w:tcW w:w="992" w:type="dxa"/>
            <w:vMerge w:val="continue"/>
            <w:vAlign w:val="center"/>
          </w:tcPr>
          <w:p w14:paraId="7AEC517E">
            <w:pPr>
              <w:snapToGrid w:val="0"/>
              <w:jc w:val="center"/>
              <w:rPr>
                <w:rFonts w:hint="eastAsia" w:ascii="宋体" w:hAnsi="宋体" w:eastAsia="宋体" w:cs="宋体"/>
                <w:kern w:val="0"/>
                <w:szCs w:val="21"/>
              </w:rPr>
            </w:pPr>
          </w:p>
        </w:tc>
        <w:tc>
          <w:tcPr>
            <w:tcW w:w="1120" w:type="dxa"/>
            <w:vAlign w:val="center"/>
          </w:tcPr>
          <w:p w14:paraId="5029BB50">
            <w:pPr>
              <w:snapToGrid w:val="0"/>
              <w:jc w:val="left"/>
              <w:rPr>
                <w:rFonts w:hint="eastAsia" w:ascii="宋体" w:hAnsi="宋体" w:eastAsia="宋体" w:cs="宋体"/>
                <w:szCs w:val="21"/>
              </w:rPr>
            </w:pPr>
            <w:r>
              <w:rPr>
                <w:rFonts w:hint="eastAsia" w:ascii="宋体" w:hAnsi="宋体" w:eastAsia="宋体" w:cs="宋体"/>
                <w:szCs w:val="21"/>
              </w:rPr>
              <w:t>商务</w:t>
            </w:r>
            <w:r>
              <w:rPr>
                <w:rFonts w:hint="eastAsia" w:ascii="宋体" w:hAnsi="宋体" w:eastAsia="宋体" w:cs="宋体"/>
                <w:kern w:val="0"/>
                <w:szCs w:val="21"/>
              </w:rPr>
              <w:t>及服务</w:t>
            </w:r>
          </w:p>
        </w:tc>
        <w:tc>
          <w:tcPr>
            <w:tcW w:w="1964" w:type="dxa"/>
            <w:vAlign w:val="center"/>
          </w:tcPr>
          <w:p w14:paraId="222CCE99">
            <w:pPr>
              <w:snapToGrid w:val="0"/>
              <w:jc w:val="center"/>
              <w:rPr>
                <w:rFonts w:hint="eastAsia" w:ascii="宋体" w:hAnsi="宋体" w:eastAsia="宋体" w:cs="宋体"/>
                <w:kern w:val="0"/>
                <w:szCs w:val="21"/>
              </w:rPr>
            </w:pPr>
            <w:r>
              <w:rPr>
                <w:rFonts w:hint="eastAsia" w:ascii="宋体" w:hAnsi="宋体" w:eastAsia="宋体" w:cs="宋体"/>
                <w:kern w:val="0"/>
                <w:szCs w:val="21"/>
              </w:rPr>
              <w:t>商务及服务</w:t>
            </w:r>
          </w:p>
        </w:tc>
        <w:tc>
          <w:tcPr>
            <w:tcW w:w="757" w:type="dxa"/>
            <w:vAlign w:val="center"/>
          </w:tcPr>
          <w:p w14:paraId="5DF46C15">
            <w:pPr>
              <w:snapToGrid w:val="0"/>
              <w:jc w:val="center"/>
              <w:rPr>
                <w:rFonts w:hint="eastAsia" w:ascii="宋体" w:hAnsi="宋体" w:eastAsia="宋体" w:cs="宋体"/>
                <w:kern w:val="0"/>
                <w:szCs w:val="21"/>
              </w:rPr>
            </w:pPr>
            <w:r>
              <w:rPr>
                <w:rFonts w:hint="eastAsia" w:ascii="宋体" w:hAnsi="宋体" w:cs="宋体"/>
                <w:szCs w:val="21"/>
                <w:lang w:val="en-US" w:eastAsia="zh-CN"/>
              </w:rPr>
              <w:t>10</w:t>
            </w:r>
            <w:r>
              <w:rPr>
                <w:rFonts w:hint="eastAsia" w:ascii="宋体" w:hAnsi="宋体" w:eastAsia="宋体" w:cs="宋体"/>
                <w:szCs w:val="21"/>
              </w:rPr>
              <w:t>分</w:t>
            </w:r>
          </w:p>
        </w:tc>
        <w:tc>
          <w:tcPr>
            <w:tcW w:w="3144" w:type="dxa"/>
            <w:vAlign w:val="center"/>
          </w:tcPr>
          <w:p w14:paraId="43F8868E">
            <w:pPr>
              <w:snapToGrid w:val="0"/>
              <w:jc w:val="center"/>
              <w:rPr>
                <w:rFonts w:hint="eastAsia" w:ascii="宋体" w:hAnsi="宋体" w:eastAsia="宋体" w:cs="宋体"/>
                <w:kern w:val="0"/>
                <w:szCs w:val="21"/>
              </w:rPr>
            </w:pPr>
            <w:r>
              <w:rPr>
                <w:rFonts w:hint="eastAsia" w:ascii="宋体" w:hAnsi="宋体" w:eastAsia="宋体" w:cs="宋体"/>
                <w:szCs w:val="21"/>
              </w:rPr>
              <w:t>详细评审标准表附后</w:t>
            </w:r>
          </w:p>
        </w:tc>
      </w:tr>
      <w:tr w14:paraId="7A70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1B9D324">
            <w:pPr>
              <w:snapToGrid w:val="0"/>
              <w:jc w:val="center"/>
              <w:rPr>
                <w:rFonts w:hint="eastAsia" w:ascii="宋体" w:hAnsi="宋体" w:eastAsia="宋体" w:cs="宋体"/>
                <w:kern w:val="0"/>
                <w:szCs w:val="21"/>
              </w:rPr>
            </w:pPr>
          </w:p>
        </w:tc>
        <w:tc>
          <w:tcPr>
            <w:tcW w:w="992" w:type="dxa"/>
            <w:vMerge w:val="continue"/>
          </w:tcPr>
          <w:p w14:paraId="79CCC963">
            <w:pPr>
              <w:snapToGrid w:val="0"/>
              <w:jc w:val="center"/>
              <w:rPr>
                <w:rFonts w:hint="eastAsia" w:ascii="宋体" w:hAnsi="宋体" w:eastAsia="宋体" w:cs="宋体"/>
                <w:kern w:val="0"/>
                <w:szCs w:val="21"/>
              </w:rPr>
            </w:pPr>
          </w:p>
        </w:tc>
        <w:tc>
          <w:tcPr>
            <w:tcW w:w="1120" w:type="dxa"/>
            <w:vAlign w:val="center"/>
          </w:tcPr>
          <w:p w14:paraId="7F7D2791">
            <w:pPr>
              <w:snapToGrid w:val="0"/>
              <w:jc w:val="left"/>
              <w:rPr>
                <w:rFonts w:hint="eastAsia" w:ascii="宋体" w:hAnsi="宋体" w:eastAsia="宋体" w:cs="宋体"/>
                <w:kern w:val="0"/>
                <w:szCs w:val="21"/>
              </w:rPr>
            </w:pPr>
            <w:r>
              <w:rPr>
                <w:rFonts w:hint="eastAsia" w:ascii="宋体" w:hAnsi="宋体" w:eastAsia="宋体" w:cs="宋体"/>
                <w:kern w:val="0"/>
                <w:szCs w:val="21"/>
              </w:rPr>
              <w:t>技术</w:t>
            </w:r>
          </w:p>
        </w:tc>
        <w:tc>
          <w:tcPr>
            <w:tcW w:w="1964" w:type="dxa"/>
            <w:vAlign w:val="center"/>
          </w:tcPr>
          <w:p w14:paraId="55DCACAB">
            <w:pPr>
              <w:snapToGrid w:val="0"/>
              <w:jc w:val="center"/>
              <w:rPr>
                <w:rFonts w:hint="eastAsia" w:ascii="宋体" w:hAnsi="宋体" w:eastAsia="宋体" w:cs="宋体"/>
                <w:kern w:val="0"/>
                <w:szCs w:val="21"/>
              </w:rPr>
            </w:pPr>
            <w:r>
              <w:rPr>
                <w:rFonts w:hint="eastAsia" w:ascii="宋体" w:hAnsi="宋体" w:eastAsia="宋体" w:cs="宋体"/>
                <w:kern w:val="0"/>
                <w:szCs w:val="21"/>
              </w:rPr>
              <w:t>技术标准</w:t>
            </w:r>
          </w:p>
        </w:tc>
        <w:tc>
          <w:tcPr>
            <w:tcW w:w="757" w:type="dxa"/>
            <w:vAlign w:val="center"/>
          </w:tcPr>
          <w:p w14:paraId="7DF2A94E">
            <w:pPr>
              <w:snapToGrid w:val="0"/>
              <w:jc w:val="center"/>
              <w:rPr>
                <w:rFonts w:hint="eastAsia" w:ascii="宋体" w:hAnsi="宋体" w:eastAsia="宋体" w:cs="宋体"/>
                <w:kern w:val="0"/>
                <w:szCs w:val="21"/>
              </w:rPr>
            </w:pPr>
            <w:r>
              <w:rPr>
                <w:rFonts w:hint="eastAsia" w:ascii="宋体" w:hAnsi="宋体" w:cs="宋体"/>
                <w:szCs w:val="21"/>
                <w:lang w:val="en-US" w:eastAsia="zh-CN"/>
              </w:rPr>
              <w:t>50</w:t>
            </w:r>
            <w:r>
              <w:rPr>
                <w:rFonts w:hint="eastAsia" w:ascii="宋体" w:hAnsi="宋体" w:eastAsia="宋体" w:cs="宋体"/>
                <w:szCs w:val="21"/>
              </w:rPr>
              <w:t>分</w:t>
            </w:r>
          </w:p>
        </w:tc>
        <w:tc>
          <w:tcPr>
            <w:tcW w:w="3144" w:type="dxa"/>
            <w:vAlign w:val="center"/>
          </w:tcPr>
          <w:p w14:paraId="3A332D7B">
            <w:pPr>
              <w:snapToGrid w:val="0"/>
              <w:jc w:val="center"/>
              <w:rPr>
                <w:rFonts w:hint="eastAsia" w:ascii="宋体" w:hAnsi="宋体" w:eastAsia="宋体" w:cs="宋体"/>
                <w:kern w:val="0"/>
                <w:szCs w:val="21"/>
              </w:rPr>
            </w:pPr>
            <w:r>
              <w:rPr>
                <w:rFonts w:hint="eastAsia" w:ascii="宋体" w:hAnsi="宋体" w:eastAsia="宋体" w:cs="宋体"/>
                <w:szCs w:val="21"/>
              </w:rPr>
              <w:t>详细评审标准表附后</w:t>
            </w:r>
          </w:p>
        </w:tc>
      </w:tr>
      <w:tr w14:paraId="56D1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04273765">
            <w:pPr>
              <w:snapToGrid w:val="0"/>
              <w:jc w:val="center"/>
              <w:rPr>
                <w:rFonts w:hint="eastAsia" w:ascii="宋体" w:hAnsi="宋体" w:eastAsia="宋体" w:cs="宋体"/>
                <w:kern w:val="0"/>
                <w:szCs w:val="21"/>
              </w:rPr>
            </w:pPr>
          </w:p>
        </w:tc>
        <w:tc>
          <w:tcPr>
            <w:tcW w:w="992" w:type="dxa"/>
            <w:vMerge w:val="continue"/>
          </w:tcPr>
          <w:p w14:paraId="39466659">
            <w:pPr>
              <w:snapToGrid w:val="0"/>
              <w:jc w:val="center"/>
              <w:rPr>
                <w:rFonts w:hint="eastAsia" w:ascii="宋体" w:hAnsi="宋体" w:eastAsia="宋体" w:cs="宋体"/>
                <w:kern w:val="0"/>
                <w:szCs w:val="21"/>
              </w:rPr>
            </w:pPr>
          </w:p>
        </w:tc>
        <w:tc>
          <w:tcPr>
            <w:tcW w:w="1120" w:type="dxa"/>
            <w:vAlign w:val="center"/>
          </w:tcPr>
          <w:p w14:paraId="497BD435">
            <w:pPr>
              <w:snapToGrid w:val="0"/>
              <w:jc w:val="left"/>
              <w:rPr>
                <w:rFonts w:hint="eastAsia" w:ascii="宋体" w:hAnsi="宋体" w:eastAsia="宋体" w:cs="宋体"/>
                <w:kern w:val="0"/>
                <w:szCs w:val="21"/>
              </w:rPr>
            </w:pPr>
            <w:r>
              <w:rPr>
                <w:rFonts w:hint="eastAsia" w:ascii="宋体" w:hAnsi="宋体" w:eastAsia="宋体" w:cs="宋体"/>
                <w:kern w:val="0"/>
                <w:szCs w:val="21"/>
              </w:rPr>
              <w:t>价格</w:t>
            </w:r>
          </w:p>
        </w:tc>
        <w:tc>
          <w:tcPr>
            <w:tcW w:w="1964" w:type="dxa"/>
            <w:vAlign w:val="center"/>
          </w:tcPr>
          <w:p w14:paraId="28C63264">
            <w:pPr>
              <w:snapToGrid w:val="0"/>
              <w:jc w:val="center"/>
              <w:rPr>
                <w:rFonts w:hint="eastAsia" w:ascii="宋体" w:hAnsi="宋体" w:eastAsia="宋体" w:cs="宋体"/>
                <w:kern w:val="0"/>
                <w:szCs w:val="21"/>
              </w:rPr>
            </w:pPr>
            <w:r>
              <w:rPr>
                <w:rFonts w:hint="eastAsia" w:ascii="宋体" w:hAnsi="宋体" w:eastAsia="宋体" w:cs="宋体"/>
                <w:kern w:val="0"/>
                <w:szCs w:val="21"/>
              </w:rPr>
              <w:t>价格</w:t>
            </w:r>
          </w:p>
        </w:tc>
        <w:tc>
          <w:tcPr>
            <w:tcW w:w="757" w:type="dxa"/>
            <w:vAlign w:val="center"/>
          </w:tcPr>
          <w:p w14:paraId="79FFAF49">
            <w:pPr>
              <w:snapToGrid w:val="0"/>
              <w:jc w:val="center"/>
              <w:rPr>
                <w:rFonts w:hint="eastAsia" w:ascii="宋体" w:hAnsi="宋体" w:eastAsia="宋体" w:cs="宋体"/>
                <w:kern w:val="0"/>
                <w:szCs w:val="21"/>
              </w:rPr>
            </w:pPr>
            <w:r>
              <w:rPr>
                <w:rFonts w:hint="eastAsia" w:ascii="宋体" w:hAnsi="宋体" w:cs="宋体"/>
                <w:kern w:val="0"/>
                <w:szCs w:val="21"/>
                <w:lang w:val="en-US" w:eastAsia="zh-CN"/>
              </w:rPr>
              <w:t>40</w:t>
            </w:r>
            <w:r>
              <w:rPr>
                <w:rFonts w:hint="eastAsia" w:ascii="宋体" w:hAnsi="宋体" w:eastAsia="宋体" w:cs="宋体"/>
                <w:kern w:val="0"/>
                <w:szCs w:val="21"/>
              </w:rPr>
              <w:t>分</w:t>
            </w:r>
          </w:p>
        </w:tc>
        <w:tc>
          <w:tcPr>
            <w:tcW w:w="3144" w:type="dxa"/>
            <w:vAlign w:val="center"/>
          </w:tcPr>
          <w:p w14:paraId="51695912">
            <w:pPr>
              <w:tabs>
                <w:tab w:val="left" w:pos="312"/>
              </w:tabs>
              <w:snapToGrid w:val="0"/>
              <w:jc w:val="left"/>
              <w:rPr>
                <w:rFonts w:hint="eastAsia" w:ascii="宋体" w:hAnsi="宋体" w:eastAsia="宋体" w:cs="宋体"/>
                <w:kern w:val="0"/>
                <w:szCs w:val="21"/>
              </w:rPr>
            </w:pPr>
            <w:r>
              <w:rPr>
                <w:rFonts w:hint="eastAsia" w:ascii="宋体" w:hAnsi="宋体" w:eastAsia="宋体" w:cs="宋体"/>
                <w:kern w:val="0"/>
                <w:szCs w:val="21"/>
              </w:rPr>
              <w:t>（1）评分方法：价格评审时以不含税总价</w:t>
            </w:r>
            <w:r>
              <w:rPr>
                <w:rFonts w:hint="eastAsia" w:ascii="宋体" w:hAnsi="宋体" w:cs="宋体"/>
                <w:kern w:val="0"/>
                <w:szCs w:val="21"/>
                <w:lang w:val="en-US" w:eastAsia="zh-CN"/>
              </w:rPr>
              <w:t>报价</w:t>
            </w:r>
            <w:r>
              <w:rPr>
                <w:rFonts w:hint="eastAsia" w:ascii="宋体" w:hAnsi="宋体" w:eastAsia="宋体" w:cs="宋体"/>
                <w:kern w:val="0"/>
                <w:szCs w:val="21"/>
              </w:rPr>
              <w:t>进行评审。</w:t>
            </w:r>
          </w:p>
          <w:p w14:paraId="0B65688B">
            <w:pPr>
              <w:snapToGrid w:val="0"/>
              <w:jc w:val="left"/>
              <w:rPr>
                <w:rFonts w:hint="eastAsia" w:ascii="宋体" w:hAnsi="宋体" w:eastAsia="宋体" w:cs="宋体"/>
                <w:kern w:val="0"/>
                <w:szCs w:val="21"/>
              </w:rPr>
            </w:pPr>
            <w:r>
              <w:rPr>
                <w:rFonts w:hint="eastAsia" w:ascii="宋体" w:hAnsi="宋体" w:eastAsia="宋体" w:cs="宋体"/>
                <w:kern w:val="0"/>
                <w:szCs w:val="21"/>
              </w:rPr>
              <w:t>（2）评分原则：</w:t>
            </w:r>
          </w:p>
          <w:p w14:paraId="03232646">
            <w:pPr>
              <w:snapToGrid w:val="0"/>
              <w:jc w:val="left"/>
              <w:rPr>
                <w:rFonts w:hint="eastAsia" w:ascii="宋体" w:hAnsi="宋体" w:eastAsia="宋体" w:cs="宋体"/>
                <w:kern w:val="0"/>
                <w:szCs w:val="21"/>
              </w:rPr>
            </w:pPr>
            <w:r>
              <w:rPr>
                <w:rFonts w:hint="eastAsia" w:ascii="宋体" w:hAnsi="宋体" w:eastAsia="宋体" w:cs="宋体"/>
                <w:kern w:val="0"/>
                <w:szCs w:val="21"/>
              </w:rPr>
              <w:t>本项目采用基准价法进行价格评分：</w:t>
            </w:r>
          </w:p>
          <w:p w14:paraId="7237871E">
            <w:pPr>
              <w:snapToGrid w:val="0"/>
              <w:jc w:val="left"/>
              <w:rPr>
                <w:rFonts w:hint="eastAsia" w:ascii="宋体" w:hAnsi="宋体" w:eastAsia="宋体" w:cs="宋体"/>
                <w:kern w:val="0"/>
                <w:szCs w:val="21"/>
              </w:rPr>
            </w:pPr>
            <w:r>
              <w:rPr>
                <w:rFonts w:hint="eastAsia" w:ascii="宋体" w:hAnsi="宋体" w:eastAsia="宋体" w:cs="宋体"/>
                <w:kern w:val="0"/>
                <w:szCs w:val="21"/>
              </w:rPr>
              <w:t>价格基准价：在所有有效报价中，以去掉（有效供应商数量÷6后向下取整）个最高价和最低价后其余价格的算术平均值的95%作为基准价，各价格得分以价格偏离基准价的多少计算，最高得40分，最低得0分。</w:t>
            </w:r>
          </w:p>
          <w:p w14:paraId="290BFCE4">
            <w:pPr>
              <w:snapToGrid w:val="0"/>
              <w:jc w:val="left"/>
              <w:rPr>
                <w:rFonts w:hint="eastAsia" w:ascii="宋体" w:hAnsi="宋体" w:eastAsia="宋体" w:cs="宋体"/>
                <w:kern w:val="0"/>
                <w:szCs w:val="21"/>
              </w:rPr>
            </w:pPr>
            <w:r>
              <w:rPr>
                <w:rFonts w:hint="eastAsia" w:ascii="宋体" w:hAnsi="宋体" w:eastAsia="宋体" w:cs="宋体"/>
                <w:kern w:val="0"/>
                <w:szCs w:val="21"/>
              </w:rPr>
              <w:t>采用线性方式计算，小数点后保留两位，第三位四舍五入。</w:t>
            </w:r>
          </w:p>
          <w:p w14:paraId="75523741">
            <w:pPr>
              <w:snapToGrid w:val="0"/>
              <w:jc w:val="left"/>
              <w:rPr>
                <w:rFonts w:hint="eastAsia" w:ascii="宋体" w:hAnsi="宋体" w:eastAsia="宋体" w:cs="宋体"/>
                <w:kern w:val="0"/>
                <w:szCs w:val="21"/>
              </w:rPr>
            </w:pPr>
            <w:r>
              <w:rPr>
                <w:rFonts w:hint="eastAsia" w:ascii="宋体" w:hAnsi="宋体" w:eastAsia="宋体" w:cs="宋体"/>
                <w:kern w:val="0"/>
                <w:szCs w:val="21"/>
              </w:rPr>
              <w:t>（3）价格得分：</w:t>
            </w:r>
          </w:p>
          <w:p w14:paraId="036399D8">
            <w:pPr>
              <w:snapToGrid w:val="0"/>
              <w:jc w:val="left"/>
              <w:rPr>
                <w:rFonts w:hint="eastAsia" w:ascii="宋体" w:hAnsi="宋体" w:eastAsia="宋体" w:cs="宋体"/>
                <w:kern w:val="0"/>
                <w:szCs w:val="21"/>
              </w:rPr>
            </w:pPr>
            <w:r>
              <w:rPr>
                <w:rFonts w:hint="eastAsia" w:ascii="宋体" w:hAnsi="宋体" w:eastAsia="宋体" w:cs="宋体"/>
                <w:kern w:val="0"/>
                <w:szCs w:val="21"/>
              </w:rPr>
              <w:t>偏离度＝（各响应报价－基准价）/基准价</w:t>
            </w:r>
          </w:p>
          <w:p w14:paraId="45551BA2">
            <w:pPr>
              <w:snapToGrid w:val="0"/>
              <w:jc w:val="left"/>
              <w:rPr>
                <w:rFonts w:hint="eastAsia" w:ascii="宋体" w:hAnsi="宋体" w:eastAsia="宋体" w:cs="宋体"/>
                <w:kern w:val="0"/>
                <w:szCs w:val="21"/>
              </w:rPr>
            </w:pPr>
            <w:r>
              <w:rPr>
                <w:rFonts w:hint="eastAsia" w:ascii="宋体" w:hAnsi="宋体" w:eastAsia="宋体" w:cs="宋体"/>
                <w:kern w:val="0"/>
                <w:szCs w:val="21"/>
              </w:rPr>
              <w:t>最终得分：</w:t>
            </w:r>
          </w:p>
          <w:p w14:paraId="0D4DA703">
            <w:pPr>
              <w:snapToGrid w:val="0"/>
              <w:jc w:val="left"/>
              <w:rPr>
                <w:rFonts w:hint="eastAsia" w:ascii="宋体" w:hAnsi="宋体" w:eastAsia="宋体" w:cs="宋体"/>
                <w:kern w:val="0"/>
                <w:szCs w:val="21"/>
              </w:rPr>
            </w:pPr>
            <w:r>
              <w:rPr>
                <w:rFonts w:hint="eastAsia" w:ascii="宋体" w:hAnsi="宋体" w:eastAsia="宋体" w:cs="宋体"/>
                <w:kern w:val="0"/>
                <w:szCs w:val="21"/>
              </w:rPr>
              <w:t>负偏离得分＝40-|0.3×偏离度/1%|</w:t>
            </w:r>
          </w:p>
          <w:p w14:paraId="1B66E804">
            <w:pPr>
              <w:snapToGrid w:val="0"/>
              <w:jc w:val="left"/>
              <w:rPr>
                <w:rFonts w:hint="eastAsia" w:ascii="宋体" w:hAnsi="宋体" w:eastAsia="宋体" w:cs="宋体"/>
                <w:kern w:val="0"/>
                <w:szCs w:val="21"/>
              </w:rPr>
            </w:pPr>
            <w:r>
              <w:rPr>
                <w:rFonts w:hint="eastAsia" w:ascii="宋体" w:hAnsi="宋体" w:eastAsia="宋体" w:cs="宋体"/>
                <w:kern w:val="0"/>
                <w:szCs w:val="21"/>
              </w:rPr>
              <w:t>正偏离得分＝40-|0.6×偏离度/1%|</w:t>
            </w:r>
          </w:p>
          <w:p w14:paraId="4EBE6A1E">
            <w:pPr>
              <w:snapToGrid w:val="0"/>
              <w:jc w:val="left"/>
              <w:rPr>
                <w:rFonts w:hint="eastAsia" w:ascii="宋体" w:hAnsi="宋体" w:eastAsia="宋体" w:cs="宋体"/>
                <w:kern w:val="0"/>
                <w:szCs w:val="21"/>
              </w:rPr>
            </w:pPr>
            <w:r>
              <w:rPr>
                <w:rFonts w:hint="eastAsia" w:ascii="宋体" w:hAnsi="宋体" w:eastAsia="宋体" w:cs="宋体"/>
                <w:kern w:val="0"/>
                <w:szCs w:val="21"/>
              </w:rPr>
              <w:t>低于基准价为负偏离，高于基准价为正偏离。</w:t>
            </w:r>
          </w:p>
          <w:p w14:paraId="1367A5E6">
            <w:pPr>
              <w:snapToGrid w:val="0"/>
              <w:jc w:val="left"/>
              <w:rPr>
                <w:rFonts w:hint="eastAsia" w:ascii="宋体" w:hAnsi="宋体" w:eastAsia="宋体" w:cs="宋体"/>
                <w:kern w:val="0"/>
                <w:szCs w:val="21"/>
              </w:rPr>
            </w:pPr>
            <w:r>
              <w:rPr>
                <w:rFonts w:hint="eastAsia" w:ascii="宋体" w:hAnsi="宋体" w:eastAsia="宋体" w:cs="宋体"/>
                <w:kern w:val="0"/>
                <w:szCs w:val="21"/>
              </w:rPr>
              <w:t>（4）价格评审依据：若出现增值税税率不一致的情形，价格评审以不含税价作为评审依据。</w:t>
            </w:r>
          </w:p>
          <w:p w14:paraId="38A5CCFE">
            <w:pPr>
              <w:snapToGrid w:val="0"/>
              <w:jc w:val="left"/>
              <w:rPr>
                <w:rFonts w:hint="eastAsia" w:ascii="宋体" w:hAnsi="宋体" w:eastAsia="宋体" w:cs="宋体"/>
                <w:kern w:val="0"/>
                <w:sz w:val="24"/>
                <w:szCs w:val="24"/>
                <w:lang w:eastAsia="zh-CN"/>
              </w:rPr>
            </w:pPr>
            <w:r>
              <w:rPr>
                <w:rFonts w:hint="eastAsia" w:ascii="宋体" w:hAnsi="宋体" w:eastAsia="宋体" w:cs="宋体"/>
                <w:kern w:val="0"/>
                <w:szCs w:val="21"/>
              </w:rPr>
              <w:t>（</w:t>
            </w:r>
            <w:r>
              <w:rPr>
                <w:rFonts w:hint="eastAsia" w:ascii="宋体" w:hAnsi="宋体" w:eastAsia="宋体" w:cs="宋体"/>
                <w:kern w:val="0"/>
                <w:szCs w:val="21"/>
                <w:lang w:val="en-US" w:eastAsia="zh-CN"/>
              </w:rPr>
              <w:t>5</w:t>
            </w:r>
            <w:r>
              <w:rPr>
                <w:rFonts w:hint="eastAsia" w:ascii="宋体" w:hAnsi="宋体" w:eastAsia="宋体" w:cs="宋体"/>
                <w:kern w:val="0"/>
                <w:szCs w:val="21"/>
              </w:rPr>
              <w:t>）是否以单项报价核定低于成本：</w:t>
            </w:r>
            <w:r>
              <w:rPr>
                <w:rFonts w:hint="eastAsia" w:ascii="宋体" w:hAnsi="宋体" w:cs="宋体"/>
                <w:kern w:val="0"/>
                <w:szCs w:val="21"/>
                <w:lang w:val="en-US" w:eastAsia="zh-CN"/>
              </w:rPr>
              <w:t>不</w:t>
            </w:r>
            <w:r>
              <w:rPr>
                <w:rFonts w:hint="eastAsia" w:ascii="宋体" w:hAnsi="宋体" w:eastAsia="宋体" w:cs="宋体"/>
                <w:kern w:val="0"/>
                <w:szCs w:val="21"/>
              </w:rPr>
              <w:t>要求</w:t>
            </w:r>
            <w:r>
              <w:rPr>
                <w:rFonts w:hint="eastAsia" w:ascii="宋体" w:hAnsi="宋体" w:cs="宋体"/>
                <w:kern w:val="0"/>
                <w:szCs w:val="21"/>
                <w:lang w:eastAsia="zh-CN"/>
              </w:rPr>
              <w:t>。</w:t>
            </w:r>
          </w:p>
        </w:tc>
      </w:tr>
      <w:tr w14:paraId="4A490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Merge w:val="continue"/>
            <w:vAlign w:val="center"/>
          </w:tcPr>
          <w:p w14:paraId="3CBEB87B">
            <w:pPr>
              <w:snapToGrid w:val="0"/>
              <w:jc w:val="center"/>
              <w:rPr>
                <w:rFonts w:hint="eastAsia" w:ascii="宋体" w:hAnsi="宋体" w:eastAsia="宋体" w:cs="宋体"/>
                <w:kern w:val="0"/>
                <w:szCs w:val="21"/>
              </w:rPr>
            </w:pPr>
          </w:p>
        </w:tc>
        <w:tc>
          <w:tcPr>
            <w:tcW w:w="992" w:type="dxa"/>
            <w:vMerge w:val="continue"/>
          </w:tcPr>
          <w:p w14:paraId="67305F0E">
            <w:pPr>
              <w:snapToGrid w:val="0"/>
              <w:jc w:val="center"/>
              <w:rPr>
                <w:rFonts w:hint="eastAsia" w:ascii="宋体" w:hAnsi="宋体" w:eastAsia="宋体" w:cs="宋体"/>
                <w:kern w:val="0"/>
                <w:szCs w:val="21"/>
              </w:rPr>
            </w:pPr>
          </w:p>
        </w:tc>
        <w:tc>
          <w:tcPr>
            <w:tcW w:w="1120" w:type="dxa"/>
            <w:vAlign w:val="center"/>
          </w:tcPr>
          <w:p w14:paraId="079796B4">
            <w:pPr>
              <w:snapToGrid w:val="0"/>
              <w:jc w:val="center"/>
              <w:rPr>
                <w:rFonts w:hint="eastAsia" w:ascii="宋体" w:hAnsi="宋体" w:eastAsia="宋体" w:cs="宋体"/>
                <w:kern w:val="0"/>
                <w:szCs w:val="21"/>
              </w:rPr>
            </w:pPr>
            <w:r>
              <w:rPr>
                <w:rFonts w:hint="eastAsia" w:cs="宋体" w:asciiTheme="minorEastAsia" w:hAnsiTheme="minorEastAsia" w:eastAsiaTheme="minorEastAsia"/>
                <w:kern w:val="0"/>
                <w:szCs w:val="21"/>
                <w:highlight w:val="none"/>
                <w:lang w:eastAsia="zh-CN"/>
              </w:rPr>
              <w:t>供应商</w:t>
            </w:r>
            <w:r>
              <w:rPr>
                <w:rFonts w:hint="eastAsia" w:cs="宋体" w:asciiTheme="minorEastAsia" w:hAnsiTheme="minorEastAsia" w:eastAsiaTheme="minorEastAsia"/>
                <w:kern w:val="0"/>
                <w:szCs w:val="21"/>
                <w:highlight w:val="none"/>
              </w:rPr>
              <w:t>不良行为</w:t>
            </w:r>
          </w:p>
        </w:tc>
        <w:tc>
          <w:tcPr>
            <w:tcW w:w="1964" w:type="dxa"/>
            <w:vAlign w:val="center"/>
          </w:tcPr>
          <w:p w14:paraId="1883C4C4">
            <w:pPr>
              <w:snapToGrid w:val="0"/>
              <w:jc w:val="center"/>
              <w:rPr>
                <w:rFonts w:hint="eastAsia" w:ascii="宋体" w:hAnsi="宋体" w:eastAsia="宋体" w:cs="宋体"/>
                <w:kern w:val="0"/>
                <w:szCs w:val="21"/>
              </w:rPr>
            </w:pPr>
            <w:r>
              <w:rPr>
                <w:rFonts w:hint="eastAsia" w:cs="宋体" w:asciiTheme="minorEastAsia" w:hAnsiTheme="minorEastAsia" w:eastAsiaTheme="minorEastAsia"/>
                <w:kern w:val="0"/>
                <w:szCs w:val="21"/>
                <w:highlight w:val="none"/>
              </w:rPr>
              <w:t>中国电信供应商不良行为处理结果</w:t>
            </w:r>
            <w:r>
              <w:rPr>
                <w:rFonts w:hint="eastAsia" w:cs="宋体" w:asciiTheme="minorEastAsia" w:hAnsiTheme="minorEastAsia" w:eastAsiaTheme="minorEastAsia"/>
                <w:kern w:val="0"/>
                <w:szCs w:val="21"/>
                <w:highlight w:val="none"/>
                <w:lang w:val="en-US" w:eastAsia="zh-CN"/>
              </w:rPr>
              <w:t>执行</w:t>
            </w:r>
          </w:p>
        </w:tc>
        <w:tc>
          <w:tcPr>
            <w:tcW w:w="757" w:type="dxa"/>
            <w:vAlign w:val="center"/>
          </w:tcPr>
          <w:p w14:paraId="2A6F8882">
            <w:pPr>
              <w:snapToGrid w:val="0"/>
              <w:jc w:val="center"/>
              <w:rPr>
                <w:rFonts w:hint="eastAsia" w:ascii="宋体" w:hAnsi="宋体" w:eastAsia="宋体" w:cs="宋体"/>
                <w:kern w:val="0"/>
                <w:szCs w:val="21"/>
              </w:rPr>
            </w:pPr>
            <w:r>
              <w:rPr>
                <w:rFonts w:cs="宋体" w:asciiTheme="minorEastAsia" w:hAnsiTheme="minorEastAsia" w:eastAsiaTheme="minorEastAsia"/>
                <w:kern w:val="0"/>
                <w:szCs w:val="21"/>
                <w:highlight w:val="none"/>
              </w:rPr>
              <w:t>-</w:t>
            </w:r>
          </w:p>
        </w:tc>
        <w:tc>
          <w:tcPr>
            <w:tcW w:w="3144" w:type="dxa"/>
            <w:vAlign w:val="center"/>
          </w:tcPr>
          <w:p w14:paraId="7EC233F4">
            <w:pPr>
              <w:snapToGrid w:val="0"/>
              <w:jc w:val="left"/>
              <w:rPr>
                <w:rFonts w:hint="eastAsia" w:ascii="宋体" w:hAnsi="宋体" w:eastAsia="宋体" w:cs="宋体"/>
                <w:kern w:val="0"/>
                <w:szCs w:val="21"/>
              </w:rPr>
            </w:pPr>
            <w:r>
              <w:rPr>
                <w:rFonts w:hint="eastAsia" w:cs="宋体" w:asciiTheme="minorEastAsia" w:hAnsiTheme="minorEastAsia" w:eastAsiaTheme="minorEastAsia"/>
                <w:color w:val="000000" w:themeColor="text1"/>
                <w:szCs w:val="21"/>
                <w:highlight w:val="none"/>
                <w14:textFill>
                  <w14:solidFill>
                    <w14:schemeClr w14:val="tx1"/>
                  </w14:solidFill>
                </w14:textFill>
              </w:rPr>
              <w:t>按照中国电信供应商不良行为处理结果及《中国电信供应商不良行为管理规则》</w:t>
            </w:r>
            <w:r>
              <w:rPr>
                <w:rFonts w:hint="eastAsia" w:cs="宋体" w:asciiTheme="minorEastAsia" w:hAnsiTheme="minorEastAsia" w:eastAsiaTheme="minorEastAsia"/>
                <w:color w:val="000000" w:themeColor="text1"/>
                <w:szCs w:val="21"/>
                <w:highlight w:val="none"/>
                <w:lang w:val="en-US" w:eastAsia="zh-CN"/>
                <w14:textFill>
                  <w14:solidFill>
                    <w14:schemeClr w14:val="tx1"/>
                  </w14:solidFill>
                </w14:textFill>
              </w:rPr>
              <w:t>的</w:t>
            </w:r>
            <w:r>
              <w:rPr>
                <w:rFonts w:hint="eastAsia" w:cs="宋体" w:asciiTheme="minorEastAsia" w:hAnsiTheme="minorEastAsia" w:eastAsiaTheme="minorEastAsia"/>
                <w:color w:val="000000" w:themeColor="text1"/>
                <w:szCs w:val="21"/>
                <w:highlight w:val="none"/>
                <w14:textFill>
                  <w14:solidFill>
                    <w14:schemeClr w14:val="tx1"/>
                  </w14:solidFill>
                </w14:textFill>
              </w:rPr>
              <w:t>处理结果执行规则[如涉及联合采购，请同时明确其他联合采购方的不良行为处理结果及相关规则]，应对</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供应商</w:t>
            </w:r>
            <w:r>
              <w:rPr>
                <w:rFonts w:hint="eastAsia" w:cs="宋体" w:asciiTheme="minorEastAsia" w:hAnsiTheme="minorEastAsia" w:eastAsiaTheme="minorEastAsia"/>
                <w:color w:val="000000" w:themeColor="text1"/>
                <w:szCs w:val="21"/>
                <w:highlight w:val="none"/>
                <w14:textFill>
                  <w14:solidFill>
                    <w14:schemeClr w14:val="tx1"/>
                  </w14:solidFill>
                </w14:textFill>
              </w:rPr>
              <w:t>的本次</w:t>
            </w:r>
            <w:r>
              <w:rPr>
                <w:rFonts w:hint="eastAsia" w:cs="宋体" w:asciiTheme="minorEastAsia" w:hAnsiTheme="minorEastAsia" w:eastAsiaTheme="minorEastAsia"/>
                <w:color w:val="000000" w:themeColor="text1"/>
                <w:szCs w:val="21"/>
                <w:highlight w:val="none"/>
                <w:lang w:eastAsia="zh-CN"/>
                <w14:textFill>
                  <w14:solidFill>
                    <w14:schemeClr w14:val="tx1"/>
                  </w14:solidFill>
                </w14:textFill>
              </w:rPr>
              <w:t>响应</w:t>
            </w:r>
            <w:r>
              <w:rPr>
                <w:rFonts w:hint="eastAsia" w:cs="宋体" w:asciiTheme="minorEastAsia" w:hAnsiTheme="minorEastAsia" w:eastAsiaTheme="minorEastAsia"/>
                <w:color w:val="000000" w:themeColor="text1"/>
                <w:szCs w:val="21"/>
                <w:highlight w:val="none"/>
                <w14:textFill>
                  <w14:solidFill>
                    <w14:schemeClr w14:val="tx1"/>
                  </w14:solidFill>
                </w14:textFill>
              </w:rPr>
              <w:t>执行限制采购处理措施的</w:t>
            </w:r>
            <w:r>
              <w:rPr>
                <w:rFonts w:cs="宋体" w:asciiTheme="minorEastAsia" w:hAnsiTheme="minorEastAsia" w:eastAsiaTheme="minorEastAsia"/>
                <w:color w:val="000000" w:themeColor="text1"/>
                <w:szCs w:val="21"/>
                <w:highlight w:val="none"/>
                <w14:textFill>
                  <w14:solidFill>
                    <w14:schemeClr w14:val="tx1"/>
                  </w14:solidFill>
                </w14:textFill>
              </w:rPr>
              <w:t>,</w:t>
            </w:r>
            <w:r>
              <w:rPr>
                <w:rFonts w:hint="eastAsia" w:cs="宋体" w:asciiTheme="minorEastAsia" w:hAnsiTheme="minorEastAsia" w:eastAsiaTheme="minorEastAsia"/>
                <w:color w:val="000000" w:themeColor="text1"/>
                <w:kern w:val="0"/>
                <w:szCs w:val="21"/>
                <w:highlight w:val="none"/>
                <w:lang w:eastAsia="zh-CN"/>
                <w14:textFill>
                  <w14:solidFill>
                    <w14:schemeClr w14:val="tx1"/>
                  </w14:solidFill>
                </w14:textFill>
              </w:rPr>
              <w:t>评审</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委员会应按照</w:t>
            </w:r>
            <w:r>
              <w:rPr>
                <w:rFonts w:cs="宋体" w:asciiTheme="minorEastAsia" w:hAnsiTheme="minorEastAsia" w:eastAsiaTheme="minorEastAsia"/>
                <w:color w:val="000000" w:themeColor="text1"/>
                <w:kern w:val="0"/>
                <w:szCs w:val="21"/>
                <w:highlight w:val="none"/>
                <w14:textFill>
                  <w14:solidFill>
                    <w14:schemeClr w14:val="tx1"/>
                  </w14:solidFill>
                </w14:textFill>
              </w:rPr>
              <w:t>处理结果</w:t>
            </w:r>
            <w:r>
              <w:rPr>
                <w:rFonts w:hint="eastAsia" w:cs="宋体" w:asciiTheme="minorEastAsia" w:hAnsiTheme="minorEastAsia" w:eastAsiaTheme="minorEastAsia"/>
                <w:color w:val="000000" w:themeColor="text1"/>
                <w:kern w:val="0"/>
                <w:szCs w:val="21"/>
                <w:highlight w:val="none"/>
                <w:lang w:val="en-US" w:eastAsia="zh-CN"/>
                <w14:textFill>
                  <w14:solidFill>
                    <w14:schemeClr w14:val="tx1"/>
                  </w14:solidFill>
                </w14:textFill>
              </w:rPr>
              <w:t>及规则</w:t>
            </w:r>
            <w:r>
              <w:rPr>
                <w:rFonts w:hint="eastAsia" w:cs="宋体" w:asciiTheme="minorEastAsia" w:hAnsiTheme="minorEastAsia" w:eastAsiaTheme="minorEastAsia"/>
                <w:color w:val="000000" w:themeColor="text1"/>
                <w:kern w:val="0"/>
                <w:szCs w:val="21"/>
                <w:highlight w:val="none"/>
                <w14:textFill>
                  <w14:solidFill>
                    <w14:schemeClr w14:val="tx1"/>
                  </w14:solidFill>
                </w14:textFill>
              </w:rPr>
              <w:t>扣减相应分值</w:t>
            </w:r>
            <w:r>
              <w:rPr>
                <w:rFonts w:hint="eastAsia" w:asciiTheme="minorEastAsia" w:hAnsiTheme="minorEastAsia" w:eastAsiaTheme="minorEastAsia"/>
                <w:color w:val="000000" w:themeColor="text1"/>
                <w:szCs w:val="21"/>
                <w:highlight w:val="none"/>
                <w14:textFill>
                  <w14:solidFill>
                    <w14:schemeClr w14:val="tx1"/>
                  </w14:solidFill>
                </w14:textFill>
              </w:rPr>
              <w:t>。</w:t>
            </w:r>
          </w:p>
        </w:tc>
      </w:tr>
      <w:tr w14:paraId="46BA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Align w:val="center"/>
          </w:tcPr>
          <w:p w14:paraId="24C361E3">
            <w:pPr>
              <w:snapToGrid w:val="0"/>
              <w:jc w:val="center"/>
              <w:rPr>
                <w:rFonts w:hint="eastAsia" w:ascii="宋体" w:hAnsi="宋体" w:eastAsia="宋体" w:cs="宋体"/>
                <w:kern w:val="0"/>
                <w:szCs w:val="21"/>
              </w:rPr>
            </w:pPr>
            <w:r>
              <w:rPr>
                <w:rFonts w:hint="eastAsia" w:ascii="宋体" w:hAnsi="宋体" w:eastAsia="宋体" w:cs="宋体"/>
                <w:kern w:val="0"/>
                <w:szCs w:val="21"/>
              </w:rPr>
              <w:t>3.2.2</w:t>
            </w:r>
          </w:p>
        </w:tc>
        <w:tc>
          <w:tcPr>
            <w:tcW w:w="992" w:type="dxa"/>
            <w:vAlign w:val="center"/>
          </w:tcPr>
          <w:p w14:paraId="6B81E2DE">
            <w:pPr>
              <w:snapToGrid w:val="0"/>
              <w:jc w:val="left"/>
              <w:rPr>
                <w:rFonts w:hint="eastAsia" w:ascii="宋体" w:hAnsi="宋体" w:eastAsia="宋体" w:cs="宋体"/>
                <w:kern w:val="0"/>
                <w:szCs w:val="21"/>
              </w:rPr>
            </w:pPr>
            <w:r>
              <w:rPr>
                <w:rFonts w:hint="eastAsia" w:ascii="宋体" w:hAnsi="宋体" w:eastAsia="宋体" w:cs="宋体"/>
                <w:kern w:val="0"/>
                <w:szCs w:val="21"/>
              </w:rPr>
              <w:t>评分计算原则</w:t>
            </w:r>
          </w:p>
        </w:tc>
        <w:tc>
          <w:tcPr>
            <w:tcW w:w="6985" w:type="dxa"/>
            <w:gridSpan w:val="4"/>
            <w:vAlign w:val="center"/>
          </w:tcPr>
          <w:p w14:paraId="0DC09DFE">
            <w:pPr>
              <w:snapToGrid w:val="0"/>
              <w:rPr>
                <w:rFonts w:hint="eastAsia" w:ascii="宋体" w:hAnsi="宋体" w:eastAsia="宋体" w:cs="宋体"/>
                <w:kern w:val="0"/>
                <w:szCs w:val="21"/>
              </w:rPr>
            </w:pPr>
            <w:r>
              <w:rPr>
                <w:rFonts w:hint="eastAsia" w:ascii="宋体" w:hAnsi="宋体" w:eastAsia="宋体" w:cs="宋体"/>
                <w:szCs w:val="21"/>
              </w:rPr>
              <w:t>按照四舍五入方式保留2位小数。</w:t>
            </w:r>
          </w:p>
        </w:tc>
      </w:tr>
      <w:tr w14:paraId="5558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9" w:type="dxa"/>
            <w:vAlign w:val="center"/>
          </w:tcPr>
          <w:p w14:paraId="7A32DACE">
            <w:pPr>
              <w:snapToGrid w:val="0"/>
              <w:jc w:val="center"/>
              <w:rPr>
                <w:rFonts w:hint="eastAsia" w:ascii="宋体" w:hAnsi="宋体" w:eastAsia="宋体" w:cs="宋体"/>
                <w:kern w:val="0"/>
                <w:szCs w:val="21"/>
              </w:rPr>
            </w:pPr>
            <w:r>
              <w:rPr>
                <w:rFonts w:hint="eastAsia" w:ascii="宋体" w:hAnsi="宋体" w:eastAsia="宋体" w:cs="宋体"/>
                <w:kern w:val="0"/>
                <w:szCs w:val="21"/>
              </w:rPr>
              <w:t>3.4.1</w:t>
            </w:r>
          </w:p>
        </w:tc>
        <w:tc>
          <w:tcPr>
            <w:tcW w:w="992" w:type="dxa"/>
            <w:vAlign w:val="center"/>
          </w:tcPr>
          <w:p w14:paraId="2AAA7BA5">
            <w:pPr>
              <w:snapToGrid w:val="0"/>
              <w:jc w:val="left"/>
              <w:rPr>
                <w:rFonts w:hint="eastAsia" w:ascii="宋体" w:hAnsi="宋体" w:eastAsia="宋体" w:cs="宋体"/>
                <w:kern w:val="0"/>
                <w:szCs w:val="21"/>
              </w:rPr>
            </w:pPr>
            <w:r>
              <w:rPr>
                <w:rFonts w:hint="eastAsia" w:ascii="宋体" w:hAnsi="宋体" w:eastAsia="宋体" w:cs="宋体"/>
                <w:kern w:val="0"/>
                <w:szCs w:val="21"/>
              </w:rPr>
              <w:t>综合评分相同的处理原则</w:t>
            </w:r>
          </w:p>
        </w:tc>
        <w:tc>
          <w:tcPr>
            <w:tcW w:w="6985" w:type="dxa"/>
            <w:gridSpan w:val="4"/>
            <w:vAlign w:val="center"/>
          </w:tcPr>
          <w:p w14:paraId="5BA71773">
            <w:pPr>
              <w:snapToGrid w:val="0"/>
              <w:rPr>
                <w:rFonts w:hint="eastAsia" w:ascii="宋体" w:hAnsi="宋体" w:eastAsia="宋体" w:cs="宋体"/>
                <w:szCs w:val="21"/>
              </w:rPr>
            </w:pPr>
            <w:r>
              <w:rPr>
                <w:rFonts w:hint="eastAsia" w:ascii="宋体" w:hAnsi="宋体" w:eastAsia="宋体" w:cs="宋体"/>
                <w:szCs w:val="21"/>
              </w:rPr>
              <w:t>综合得分相同的，技术得分高者排名优先；技术得分相同的，价格得分高者排名优先；价格得分相同的，商务得分高者排名优先；商务得分相同的，业绩累计</w:t>
            </w:r>
            <w:r>
              <w:rPr>
                <w:rFonts w:hint="eastAsia" w:ascii="宋体" w:hAnsi="宋体" w:cs="宋体"/>
                <w:szCs w:val="21"/>
                <w:lang w:val="en-US" w:eastAsia="zh-CN"/>
              </w:rPr>
              <w:t>含税</w:t>
            </w:r>
            <w:r>
              <w:rPr>
                <w:rFonts w:hint="eastAsia" w:ascii="宋体" w:hAnsi="宋体" w:eastAsia="宋体" w:cs="宋体"/>
                <w:szCs w:val="21"/>
              </w:rPr>
              <w:t>金额高者排名优先。</w:t>
            </w:r>
          </w:p>
        </w:tc>
      </w:tr>
    </w:tbl>
    <w:p w14:paraId="00886044">
      <w:pPr>
        <w:widowControl/>
        <w:jc w:val="left"/>
        <w:rPr>
          <w:rFonts w:hint="eastAsia" w:ascii="宋体" w:hAnsi="宋体" w:eastAsia="宋体" w:cs="宋体"/>
          <w:b/>
          <w:bCs/>
          <w:szCs w:val="21"/>
        </w:rPr>
      </w:pPr>
    </w:p>
    <w:p w14:paraId="58002705">
      <w:pPr>
        <w:widowControl/>
        <w:jc w:val="left"/>
        <w:rPr>
          <w:rFonts w:hint="eastAsia" w:ascii="宋体" w:hAnsi="宋体" w:eastAsia="宋体" w:cs="宋体"/>
          <w:b/>
          <w:bCs/>
          <w:szCs w:val="21"/>
        </w:rPr>
      </w:pPr>
      <w:r>
        <w:rPr>
          <w:rFonts w:hint="eastAsia" w:ascii="宋体" w:hAnsi="宋体" w:eastAsia="宋体" w:cs="宋体"/>
          <w:b/>
          <w:bCs/>
          <w:szCs w:val="21"/>
        </w:rPr>
        <w:t>1.</w:t>
      </w:r>
      <w:bookmarkStart w:id="1331" w:name="_Hlk78554911"/>
      <w:r>
        <w:rPr>
          <w:rFonts w:hint="eastAsia" w:ascii="宋体" w:hAnsi="宋体" w:eastAsia="宋体" w:cs="宋体"/>
          <w:b/>
          <w:bCs/>
          <w:szCs w:val="21"/>
        </w:rPr>
        <w:t>商务详细评审标准表（</w:t>
      </w:r>
      <w:r>
        <w:rPr>
          <w:rFonts w:hint="eastAsia" w:ascii="宋体" w:hAnsi="宋体" w:cs="宋体"/>
          <w:b/>
          <w:bCs/>
          <w:szCs w:val="21"/>
          <w:lang w:val="en-US" w:eastAsia="zh-CN"/>
        </w:rPr>
        <w:t>5</w:t>
      </w:r>
      <w:r>
        <w:rPr>
          <w:rFonts w:hint="eastAsia" w:ascii="宋体" w:hAnsi="宋体" w:eastAsia="宋体" w:cs="宋体"/>
          <w:b/>
          <w:bCs/>
          <w:szCs w:val="21"/>
        </w:rPr>
        <w:t>分）</w:t>
      </w:r>
    </w:p>
    <w:tbl>
      <w:tblPr>
        <w:tblStyle w:val="39"/>
        <w:tblW w:w="5483" w:type="pct"/>
        <w:jc w:val="center"/>
        <w:shd w:val="clear" w:color="auto" w:fill="auto"/>
        <w:tblLayout w:type="autofit"/>
        <w:tblCellMar>
          <w:top w:w="0" w:type="dxa"/>
          <w:left w:w="108" w:type="dxa"/>
          <w:bottom w:w="0" w:type="dxa"/>
          <w:right w:w="108" w:type="dxa"/>
        </w:tblCellMar>
      </w:tblPr>
      <w:tblGrid>
        <w:gridCol w:w="508"/>
        <w:gridCol w:w="1208"/>
        <w:gridCol w:w="6517"/>
        <w:gridCol w:w="1112"/>
      </w:tblGrid>
      <w:tr w14:paraId="5032E188">
        <w:tblPrEx>
          <w:shd w:val="clear" w:color="auto" w:fill="auto"/>
          <w:tblCellMar>
            <w:top w:w="0" w:type="dxa"/>
            <w:left w:w="108" w:type="dxa"/>
            <w:bottom w:w="0" w:type="dxa"/>
            <w:right w:w="108" w:type="dxa"/>
          </w:tblCellMar>
        </w:tblPrEx>
        <w:trPr>
          <w:trHeight w:val="515"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1C18D52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46" w:type="pct"/>
            <w:tcBorders>
              <w:top w:val="single" w:color="auto" w:sz="4" w:space="0"/>
              <w:left w:val="nil"/>
              <w:bottom w:val="single" w:color="auto" w:sz="4" w:space="0"/>
              <w:right w:val="single" w:color="auto" w:sz="4" w:space="0"/>
            </w:tcBorders>
            <w:shd w:val="clear" w:color="auto" w:fill="auto"/>
            <w:vAlign w:val="center"/>
          </w:tcPr>
          <w:p w14:paraId="7DAD5E83">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3485" w:type="pct"/>
            <w:tcBorders>
              <w:top w:val="single" w:color="auto" w:sz="4" w:space="0"/>
              <w:left w:val="nil"/>
              <w:bottom w:val="single" w:color="auto" w:sz="4" w:space="0"/>
              <w:right w:val="single" w:color="auto" w:sz="4" w:space="0"/>
            </w:tcBorders>
            <w:shd w:val="clear" w:color="auto" w:fill="auto"/>
            <w:vAlign w:val="center"/>
          </w:tcPr>
          <w:p w14:paraId="4D00B8B1">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595" w:type="pct"/>
            <w:tcBorders>
              <w:top w:val="single" w:color="auto" w:sz="4" w:space="0"/>
              <w:left w:val="nil"/>
              <w:bottom w:val="single" w:color="auto" w:sz="4" w:space="0"/>
              <w:right w:val="single" w:color="auto" w:sz="4" w:space="0"/>
            </w:tcBorders>
            <w:shd w:val="clear" w:color="auto" w:fill="auto"/>
            <w:vAlign w:val="center"/>
          </w:tcPr>
          <w:p w14:paraId="25E51DD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权重比值</w:t>
            </w:r>
          </w:p>
        </w:tc>
      </w:tr>
      <w:tr w14:paraId="6E56B12D">
        <w:tblPrEx>
          <w:tblCellMar>
            <w:top w:w="0" w:type="dxa"/>
            <w:left w:w="108" w:type="dxa"/>
            <w:bottom w:w="0" w:type="dxa"/>
            <w:right w:w="108" w:type="dxa"/>
          </w:tblCellMar>
        </w:tblPrEx>
        <w:trPr>
          <w:trHeight w:val="3303"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745B4874">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646" w:type="pct"/>
            <w:tcBorders>
              <w:top w:val="nil"/>
              <w:left w:val="nil"/>
              <w:bottom w:val="single" w:color="auto" w:sz="4" w:space="0"/>
              <w:right w:val="single" w:color="auto" w:sz="4" w:space="0"/>
            </w:tcBorders>
            <w:shd w:val="clear" w:color="auto" w:fill="auto"/>
            <w:vAlign w:val="center"/>
          </w:tcPr>
          <w:p w14:paraId="61BB959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案例与业绩</w:t>
            </w:r>
          </w:p>
        </w:tc>
        <w:tc>
          <w:tcPr>
            <w:tcW w:w="3485" w:type="pct"/>
            <w:tcBorders>
              <w:top w:val="nil"/>
              <w:left w:val="nil"/>
              <w:bottom w:val="single" w:color="auto" w:sz="4" w:space="0"/>
              <w:right w:val="single" w:color="auto" w:sz="4" w:space="0"/>
            </w:tcBorders>
            <w:shd w:val="clear" w:color="auto" w:fill="auto"/>
            <w:vAlign w:val="center"/>
          </w:tcPr>
          <w:p w14:paraId="55E6D319">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案例和业绩评分（4分）：</w:t>
            </w:r>
          </w:p>
          <w:p w14:paraId="510AADCA">
            <w:pPr>
              <w:keepNext w:val="0"/>
              <w:keepLines w:val="0"/>
              <w:widowControl/>
              <w:suppressLineNumbers w:val="0"/>
              <w:jc w:val="left"/>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根据响应人2021年1月1日至今完成的类似项目（支付或结算系统开发类）业绩累计含税金额进行评分。30万以下不得分，30万（含）得1分，在30万基础上每增加5万加1分，最多加3分，本项满分4分；未提供或其他情况不得分。</w:t>
            </w:r>
          </w:p>
          <w:p w14:paraId="0BEEAE7C">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val="0"/>
                <w:bCs w:val="0"/>
                <w:i w:val="0"/>
                <w:iCs w:val="0"/>
                <w:color w:val="000000"/>
                <w:kern w:val="0"/>
                <w:sz w:val="21"/>
                <w:szCs w:val="21"/>
                <w:u w:val="none"/>
                <w:lang w:val="en-US" w:eastAsia="zh-CN" w:bidi="ar"/>
              </w:rPr>
              <w:t xml:space="preserve">注：响应人须提供合同证明材料，证明材料如为单项合同，须提供合同首页、服务内容页、金额页、双方签字盖章页等关键页；若提供的是框架合同，须提供合同首页、采购清单页、双方签字盖章页等关键页，同时还需提供合同订单或结算单等相关证明，否则不得分。框架合同金额按订单或结算单累计金额计算，合同扫描不清晰无法辨别或提供资料不完整的，不能作为证明材料。  </w:t>
            </w:r>
          </w:p>
        </w:tc>
        <w:tc>
          <w:tcPr>
            <w:tcW w:w="595" w:type="pct"/>
            <w:tcBorders>
              <w:top w:val="nil"/>
              <w:left w:val="nil"/>
              <w:bottom w:val="single" w:color="auto" w:sz="4" w:space="0"/>
              <w:right w:val="single" w:color="auto" w:sz="4" w:space="0"/>
            </w:tcBorders>
            <w:shd w:val="clear" w:color="auto" w:fill="auto"/>
            <w:vAlign w:val="center"/>
          </w:tcPr>
          <w:p w14:paraId="59D4C812">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4</w:t>
            </w:r>
          </w:p>
        </w:tc>
      </w:tr>
      <w:tr w14:paraId="2889673B">
        <w:tblPrEx>
          <w:shd w:val="clear" w:color="auto" w:fill="auto"/>
          <w:tblCellMar>
            <w:top w:w="0" w:type="dxa"/>
            <w:left w:w="108" w:type="dxa"/>
            <w:bottom w:w="0" w:type="dxa"/>
            <w:right w:w="108" w:type="dxa"/>
          </w:tblCellMar>
        </w:tblPrEx>
        <w:trPr>
          <w:trHeight w:val="769"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1B362C0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646" w:type="pct"/>
            <w:tcBorders>
              <w:top w:val="nil"/>
              <w:left w:val="nil"/>
              <w:bottom w:val="single" w:color="auto" w:sz="4" w:space="0"/>
              <w:right w:val="single" w:color="auto" w:sz="4" w:space="0"/>
            </w:tcBorders>
            <w:shd w:val="clear" w:color="auto" w:fill="auto"/>
            <w:vAlign w:val="center"/>
          </w:tcPr>
          <w:p w14:paraId="75E9E44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技术条款</w:t>
            </w:r>
            <w:r>
              <w:rPr>
                <w:rFonts w:hint="eastAsia" w:ascii="宋体" w:hAnsi="宋体" w:eastAsia="宋体" w:cs="宋体"/>
                <w:kern w:val="0"/>
                <w:sz w:val="21"/>
                <w:szCs w:val="21"/>
              </w:rPr>
              <w:t>满足度</w:t>
            </w:r>
          </w:p>
        </w:tc>
        <w:tc>
          <w:tcPr>
            <w:tcW w:w="3485" w:type="pct"/>
            <w:tcBorders>
              <w:top w:val="nil"/>
              <w:left w:val="nil"/>
              <w:bottom w:val="single" w:color="auto" w:sz="4" w:space="0"/>
              <w:right w:val="single" w:color="auto" w:sz="4" w:space="0"/>
            </w:tcBorders>
            <w:shd w:val="clear" w:color="auto" w:fill="auto"/>
            <w:vAlign w:val="center"/>
          </w:tcPr>
          <w:p w14:paraId="217F28B6">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非偏离实质性条款评分（0.5分）：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采购文件中未标注“★”的技术条款偏离达到6项将被否决响应，低于6项的偏离每项扣0.1分，扣完</w:t>
            </w:r>
            <w:r>
              <w:rPr>
                <w:rFonts w:hint="eastAsia" w:ascii="宋体" w:hAnsi="宋体" w:cs="宋体"/>
                <w:i w:val="0"/>
                <w:iCs w:val="0"/>
                <w:color w:val="000000"/>
                <w:kern w:val="0"/>
                <w:sz w:val="20"/>
                <w:szCs w:val="20"/>
                <w:u w:val="none"/>
                <w:lang w:val="en-US" w:eastAsia="zh-CN" w:bidi="ar"/>
              </w:rPr>
              <w:t>0.5</w:t>
            </w:r>
            <w:r>
              <w:rPr>
                <w:rFonts w:hint="eastAsia" w:ascii="宋体" w:hAnsi="宋体" w:eastAsia="宋体" w:cs="宋体"/>
                <w:i w:val="0"/>
                <w:iCs w:val="0"/>
                <w:color w:val="000000"/>
                <w:kern w:val="0"/>
                <w:sz w:val="20"/>
                <w:szCs w:val="20"/>
                <w:u w:val="none"/>
                <w:lang w:val="en-US" w:eastAsia="zh-CN" w:bidi="ar"/>
              </w:rPr>
              <w:t>分为止。</w:t>
            </w:r>
          </w:p>
        </w:tc>
        <w:tc>
          <w:tcPr>
            <w:tcW w:w="595" w:type="pct"/>
            <w:tcBorders>
              <w:top w:val="nil"/>
              <w:left w:val="nil"/>
              <w:bottom w:val="single" w:color="auto" w:sz="4" w:space="0"/>
              <w:right w:val="single" w:color="auto" w:sz="4" w:space="0"/>
            </w:tcBorders>
            <w:shd w:val="clear" w:color="auto" w:fill="auto"/>
            <w:vAlign w:val="center"/>
          </w:tcPr>
          <w:p w14:paraId="7881632A">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r>
      <w:tr w14:paraId="1F89DA0A">
        <w:tblPrEx>
          <w:tblCellMar>
            <w:top w:w="0" w:type="dxa"/>
            <w:left w:w="108" w:type="dxa"/>
            <w:bottom w:w="0" w:type="dxa"/>
            <w:right w:w="108" w:type="dxa"/>
          </w:tblCellMar>
        </w:tblPrEx>
        <w:trPr>
          <w:trHeight w:val="1529" w:hRule="atLeast"/>
          <w:jc w:val="center"/>
        </w:trPr>
        <w:tc>
          <w:tcPr>
            <w:tcW w:w="272" w:type="pct"/>
            <w:tcBorders>
              <w:top w:val="single" w:color="auto" w:sz="4" w:space="0"/>
              <w:left w:val="single" w:color="auto" w:sz="4" w:space="0"/>
              <w:bottom w:val="single" w:color="auto" w:sz="4" w:space="0"/>
              <w:right w:val="single" w:color="auto" w:sz="4" w:space="0"/>
            </w:tcBorders>
            <w:shd w:val="clear" w:color="auto" w:fill="auto"/>
            <w:vAlign w:val="center"/>
          </w:tcPr>
          <w:p w14:paraId="3A6253AA">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646" w:type="pct"/>
            <w:tcBorders>
              <w:top w:val="nil"/>
              <w:left w:val="nil"/>
              <w:bottom w:val="single" w:color="auto" w:sz="4" w:space="0"/>
              <w:right w:val="single" w:color="auto" w:sz="4" w:space="0"/>
            </w:tcBorders>
            <w:shd w:val="clear" w:color="auto" w:fill="auto"/>
            <w:vAlign w:val="center"/>
          </w:tcPr>
          <w:p w14:paraId="46F5A05E">
            <w:pPr>
              <w:widowControl/>
              <w:jc w:val="center"/>
              <w:rPr>
                <w:rFonts w:hint="eastAsia" w:ascii="宋体" w:hAnsi="宋体" w:eastAsia="宋体" w:cs="宋体"/>
                <w:kern w:val="0"/>
                <w:sz w:val="21"/>
                <w:szCs w:val="21"/>
              </w:rPr>
            </w:pPr>
            <w:r>
              <w:rPr>
                <w:rFonts w:hint="eastAsia" w:ascii="宋体" w:hAnsi="宋体" w:cs="宋体"/>
                <w:kern w:val="0"/>
                <w:sz w:val="21"/>
                <w:szCs w:val="21"/>
                <w:lang w:eastAsia="zh-CN"/>
              </w:rPr>
              <w:t>响应</w:t>
            </w:r>
            <w:r>
              <w:rPr>
                <w:rFonts w:hint="eastAsia" w:ascii="宋体" w:hAnsi="宋体" w:eastAsia="宋体" w:cs="宋体"/>
                <w:kern w:val="0"/>
                <w:sz w:val="21"/>
                <w:szCs w:val="21"/>
              </w:rPr>
              <w:t>文件应答和制作情况</w:t>
            </w:r>
          </w:p>
        </w:tc>
        <w:tc>
          <w:tcPr>
            <w:tcW w:w="3485" w:type="pct"/>
            <w:tcBorders>
              <w:top w:val="nil"/>
              <w:left w:val="nil"/>
              <w:bottom w:val="single" w:color="auto" w:sz="4" w:space="0"/>
              <w:right w:val="single" w:color="auto" w:sz="4" w:space="0"/>
            </w:tcBorders>
            <w:shd w:val="clear" w:color="auto" w:fill="auto"/>
            <w:vAlign w:val="center"/>
          </w:tcPr>
          <w:p w14:paraId="7F4E7020">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响应文件应答和制作质量评分（0.5分）：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响应文件的制作质量（字迹、目录和页码、文件编排合理性、内容的充实程度等方面）进行比较。文字及证件复印件清晰、内容完整而充实、文件编排合理，目录清晰、有正文和页码，图纸表格等有编号。完全满足得满分，一项不满足扣0.1分，扣完为止。</w:t>
            </w:r>
          </w:p>
        </w:tc>
        <w:tc>
          <w:tcPr>
            <w:tcW w:w="595" w:type="pct"/>
            <w:tcBorders>
              <w:top w:val="nil"/>
              <w:left w:val="nil"/>
              <w:bottom w:val="single" w:color="auto" w:sz="4" w:space="0"/>
              <w:right w:val="single" w:color="auto" w:sz="4" w:space="0"/>
            </w:tcBorders>
            <w:shd w:val="clear" w:color="auto" w:fill="auto"/>
            <w:vAlign w:val="center"/>
          </w:tcPr>
          <w:p w14:paraId="47A7EA95">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0.5</w:t>
            </w:r>
          </w:p>
        </w:tc>
      </w:tr>
      <w:tr w14:paraId="3045D90F">
        <w:tblPrEx>
          <w:tblCellMar>
            <w:top w:w="0" w:type="dxa"/>
            <w:left w:w="108" w:type="dxa"/>
            <w:bottom w:w="0" w:type="dxa"/>
            <w:right w:w="108" w:type="dxa"/>
          </w:tblCellMar>
        </w:tblPrEx>
        <w:trPr>
          <w:trHeight w:val="277" w:hRule="atLeast"/>
          <w:jc w:val="center"/>
        </w:trPr>
        <w:tc>
          <w:tcPr>
            <w:tcW w:w="4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B3A94BD">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595" w:type="pct"/>
            <w:tcBorders>
              <w:top w:val="single" w:color="auto" w:sz="4" w:space="0"/>
              <w:left w:val="nil"/>
              <w:bottom w:val="single" w:color="auto" w:sz="4" w:space="0"/>
              <w:right w:val="single" w:color="auto" w:sz="4" w:space="0"/>
            </w:tcBorders>
            <w:shd w:val="clear" w:color="auto" w:fill="auto"/>
            <w:vAlign w:val="center"/>
          </w:tcPr>
          <w:p w14:paraId="39BC2BAE">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w:t>
            </w:r>
          </w:p>
        </w:tc>
      </w:tr>
    </w:tbl>
    <w:p w14:paraId="03394758">
      <w:pPr>
        <w:widowControl/>
        <w:jc w:val="left"/>
        <w:rPr>
          <w:rFonts w:hint="eastAsia" w:ascii="宋体" w:hAnsi="宋体" w:eastAsia="宋体" w:cs="宋体"/>
          <w:b/>
          <w:bCs/>
          <w:szCs w:val="21"/>
        </w:rPr>
      </w:pPr>
      <w:r>
        <w:rPr>
          <w:rFonts w:hint="eastAsia" w:ascii="宋体" w:hAnsi="宋体" w:eastAsia="宋体" w:cs="宋体"/>
          <w:b/>
          <w:bCs/>
          <w:szCs w:val="21"/>
          <w:lang w:val="en-US" w:eastAsia="zh-CN"/>
        </w:rPr>
        <w:t>2</w:t>
      </w:r>
      <w:r>
        <w:rPr>
          <w:rFonts w:hint="eastAsia" w:ascii="宋体" w:hAnsi="宋体" w:eastAsia="宋体" w:cs="宋体"/>
          <w:b/>
          <w:bCs/>
          <w:szCs w:val="21"/>
        </w:rPr>
        <w:t>.</w:t>
      </w:r>
      <w:r>
        <w:rPr>
          <w:rFonts w:hint="eastAsia" w:ascii="宋体" w:hAnsi="宋体" w:eastAsia="宋体" w:cs="宋体"/>
          <w:b/>
          <w:bCs/>
          <w:szCs w:val="21"/>
          <w:lang w:val="en-US" w:eastAsia="zh-CN"/>
        </w:rPr>
        <w:t>服务</w:t>
      </w:r>
      <w:r>
        <w:rPr>
          <w:rFonts w:hint="eastAsia" w:ascii="宋体" w:hAnsi="宋体" w:eastAsia="宋体" w:cs="宋体"/>
          <w:b/>
          <w:bCs/>
          <w:szCs w:val="21"/>
        </w:rPr>
        <w:t>详细评审标准表（</w:t>
      </w:r>
      <w:r>
        <w:rPr>
          <w:rFonts w:hint="eastAsia" w:ascii="宋体" w:hAnsi="宋体" w:eastAsia="宋体" w:cs="宋体"/>
          <w:b/>
          <w:bCs/>
          <w:szCs w:val="21"/>
          <w:lang w:val="en-US" w:eastAsia="zh-CN"/>
        </w:rPr>
        <w:t>5</w:t>
      </w:r>
      <w:r>
        <w:rPr>
          <w:rFonts w:hint="eastAsia" w:ascii="宋体" w:hAnsi="宋体" w:eastAsia="宋体" w:cs="宋体"/>
          <w:b/>
          <w:bCs/>
          <w:szCs w:val="21"/>
        </w:rPr>
        <w:t>分）</w:t>
      </w:r>
    </w:p>
    <w:tbl>
      <w:tblPr>
        <w:tblStyle w:val="39"/>
        <w:tblW w:w="5483" w:type="pct"/>
        <w:jc w:val="center"/>
        <w:shd w:val="clear" w:color="auto" w:fill="auto"/>
        <w:tblLayout w:type="autofit"/>
        <w:tblCellMar>
          <w:top w:w="0" w:type="dxa"/>
          <w:left w:w="108" w:type="dxa"/>
          <w:bottom w:w="0" w:type="dxa"/>
          <w:right w:w="108" w:type="dxa"/>
        </w:tblCellMar>
      </w:tblPr>
      <w:tblGrid>
        <w:gridCol w:w="506"/>
        <w:gridCol w:w="1208"/>
        <w:gridCol w:w="6519"/>
        <w:gridCol w:w="1112"/>
      </w:tblGrid>
      <w:tr w14:paraId="6CAD54B7">
        <w:tblPrEx>
          <w:tblCellMar>
            <w:top w:w="0" w:type="dxa"/>
            <w:left w:w="108" w:type="dxa"/>
            <w:bottom w:w="0" w:type="dxa"/>
            <w:right w:w="108" w:type="dxa"/>
          </w:tblCellMar>
        </w:tblPrEx>
        <w:trPr>
          <w:trHeight w:val="515" w:hRule="atLeast"/>
          <w:jc w:val="center"/>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22E03F2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646" w:type="pct"/>
            <w:tcBorders>
              <w:top w:val="single" w:color="auto" w:sz="4" w:space="0"/>
              <w:left w:val="nil"/>
              <w:bottom w:val="single" w:color="auto" w:sz="4" w:space="0"/>
              <w:right w:val="single" w:color="auto" w:sz="4" w:space="0"/>
            </w:tcBorders>
            <w:shd w:val="clear" w:color="auto" w:fill="auto"/>
            <w:vAlign w:val="center"/>
          </w:tcPr>
          <w:p w14:paraId="330E827B">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3486" w:type="pct"/>
            <w:tcBorders>
              <w:top w:val="single" w:color="auto" w:sz="4" w:space="0"/>
              <w:left w:val="nil"/>
              <w:bottom w:val="single" w:color="auto" w:sz="4" w:space="0"/>
              <w:right w:val="single" w:color="auto" w:sz="4" w:space="0"/>
            </w:tcBorders>
            <w:shd w:val="clear" w:color="auto" w:fill="auto"/>
            <w:vAlign w:val="center"/>
          </w:tcPr>
          <w:p w14:paraId="659CB17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595" w:type="pct"/>
            <w:tcBorders>
              <w:top w:val="single" w:color="auto" w:sz="4" w:space="0"/>
              <w:left w:val="nil"/>
              <w:bottom w:val="single" w:color="auto" w:sz="4" w:space="0"/>
              <w:right w:val="single" w:color="auto" w:sz="4" w:space="0"/>
            </w:tcBorders>
            <w:shd w:val="clear" w:color="auto" w:fill="auto"/>
            <w:vAlign w:val="center"/>
          </w:tcPr>
          <w:p w14:paraId="0A32EBB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权重比值</w:t>
            </w:r>
          </w:p>
        </w:tc>
      </w:tr>
      <w:tr w14:paraId="1E68A3AA">
        <w:tblPrEx>
          <w:tblCellMar>
            <w:top w:w="0" w:type="dxa"/>
            <w:left w:w="108" w:type="dxa"/>
            <w:bottom w:w="0" w:type="dxa"/>
            <w:right w:w="108" w:type="dxa"/>
          </w:tblCellMar>
        </w:tblPrEx>
        <w:trPr>
          <w:trHeight w:val="2003" w:hRule="atLeast"/>
          <w:jc w:val="center"/>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09843170">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1</w:t>
            </w:r>
          </w:p>
        </w:tc>
        <w:tc>
          <w:tcPr>
            <w:tcW w:w="646" w:type="pct"/>
            <w:tcBorders>
              <w:top w:val="nil"/>
              <w:left w:val="nil"/>
              <w:bottom w:val="single" w:color="auto" w:sz="4" w:space="0"/>
              <w:right w:val="single" w:color="auto" w:sz="4" w:space="0"/>
            </w:tcBorders>
            <w:shd w:val="clear" w:color="auto" w:fill="auto"/>
            <w:vAlign w:val="center"/>
          </w:tcPr>
          <w:p w14:paraId="17BD2AF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服务团队覆盖、服务人员数量、原厂服务能力</w:t>
            </w:r>
          </w:p>
        </w:tc>
        <w:tc>
          <w:tcPr>
            <w:tcW w:w="3486" w:type="pct"/>
            <w:tcBorders>
              <w:top w:val="nil"/>
              <w:left w:val="nil"/>
              <w:bottom w:val="single" w:color="auto" w:sz="4" w:space="0"/>
              <w:right w:val="single" w:color="auto" w:sz="4" w:space="0"/>
            </w:tcBorders>
            <w:shd w:val="clear" w:color="auto" w:fill="auto"/>
            <w:vAlign w:val="center"/>
          </w:tcPr>
          <w:p w14:paraId="37517764">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1"/>
                <w:szCs w:val="21"/>
                <w:u w:val="none"/>
                <w:lang w:val="en-US" w:eastAsia="zh-CN" w:bidi="ar"/>
              </w:rPr>
              <w:t>服务支撑人员评分（1分）：</w:t>
            </w:r>
            <w:r>
              <w:rPr>
                <w:rFonts w:hint="eastAsia" w:ascii="宋体" w:hAnsi="宋体" w:eastAsia="宋体" w:cs="宋体"/>
                <w:b w:val="0"/>
                <w:bCs w:val="0"/>
                <w:i w:val="0"/>
                <w:iCs w:val="0"/>
                <w:color w:val="000000"/>
                <w:kern w:val="0"/>
                <w:sz w:val="21"/>
                <w:szCs w:val="21"/>
                <w:u w:val="none"/>
                <w:lang w:val="en-US" w:eastAsia="zh-CN" w:bidi="ar"/>
              </w:rPr>
              <w:t>针对本项目，响应人拟提供服务支撑人员（不含团队负责人和团队成员）为1人的得0.5分，在此基础上每增加1人加0.5分，最多得1分。（须提供人员名单、身份证正反面扫描件或复印件及</w:t>
            </w:r>
            <w:r>
              <w:rPr>
                <w:rFonts w:hint="eastAsia" w:ascii="宋体" w:hAnsi="宋体" w:cs="宋体"/>
                <w:b w:val="0"/>
                <w:bCs w:val="0"/>
                <w:i w:val="0"/>
                <w:iCs w:val="0"/>
                <w:color w:val="000000"/>
                <w:kern w:val="0"/>
                <w:sz w:val="21"/>
                <w:szCs w:val="21"/>
                <w:u w:val="none"/>
                <w:lang w:val="en-US" w:eastAsia="zh-CN" w:bidi="ar"/>
              </w:rPr>
              <w:t>响应</w:t>
            </w:r>
            <w:r>
              <w:rPr>
                <w:rFonts w:hint="eastAsia" w:ascii="宋体" w:hAnsi="宋体" w:eastAsia="宋体" w:cs="宋体"/>
                <w:b w:val="0"/>
                <w:bCs w:val="0"/>
                <w:i w:val="0"/>
                <w:iCs w:val="0"/>
                <w:color w:val="000000"/>
                <w:kern w:val="0"/>
                <w:sz w:val="21"/>
                <w:szCs w:val="21"/>
                <w:u w:val="none"/>
                <w:lang w:val="en-US" w:eastAsia="zh-CN" w:bidi="ar"/>
              </w:rPr>
              <w:t>单位为其为其缴纳的2025年1月1日至今任意连续3个月社保缴纳证明材料及与其签订的劳动合同扫描件证明材料，否则不得分）。</w:t>
            </w:r>
          </w:p>
        </w:tc>
        <w:tc>
          <w:tcPr>
            <w:tcW w:w="595" w:type="pct"/>
            <w:tcBorders>
              <w:top w:val="nil"/>
              <w:left w:val="nil"/>
              <w:bottom w:val="single" w:color="auto" w:sz="4" w:space="0"/>
              <w:right w:val="single" w:color="auto" w:sz="4" w:space="0"/>
            </w:tcBorders>
            <w:shd w:val="clear" w:color="auto" w:fill="auto"/>
            <w:vAlign w:val="center"/>
          </w:tcPr>
          <w:p w14:paraId="0D59F134">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w:t>
            </w:r>
          </w:p>
        </w:tc>
      </w:tr>
      <w:tr w14:paraId="3A8E46F3">
        <w:tblPrEx>
          <w:tblCellMar>
            <w:top w:w="0" w:type="dxa"/>
            <w:left w:w="108" w:type="dxa"/>
            <w:bottom w:w="0" w:type="dxa"/>
            <w:right w:w="108" w:type="dxa"/>
          </w:tblCellMar>
        </w:tblPrEx>
        <w:trPr>
          <w:trHeight w:val="761" w:hRule="atLeast"/>
          <w:jc w:val="center"/>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77277923">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2</w:t>
            </w:r>
          </w:p>
        </w:tc>
        <w:tc>
          <w:tcPr>
            <w:tcW w:w="1208" w:type="dxa"/>
            <w:tcBorders>
              <w:top w:val="nil"/>
              <w:left w:val="nil"/>
              <w:bottom w:val="single" w:color="auto" w:sz="4" w:space="0"/>
              <w:right w:val="single" w:color="auto" w:sz="4" w:space="0"/>
            </w:tcBorders>
            <w:shd w:val="clear" w:color="auto" w:fill="auto"/>
            <w:vAlign w:val="center"/>
          </w:tcPr>
          <w:p w14:paraId="4C34F83E">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服务与支持</w:t>
            </w:r>
          </w:p>
        </w:tc>
        <w:tc>
          <w:tcPr>
            <w:tcW w:w="6515" w:type="dxa"/>
            <w:tcBorders>
              <w:top w:val="nil"/>
              <w:left w:val="nil"/>
              <w:bottom w:val="single" w:color="auto" w:sz="4" w:space="0"/>
              <w:right w:val="single" w:color="auto" w:sz="4" w:space="0"/>
            </w:tcBorders>
            <w:shd w:val="clear" w:color="auto" w:fill="auto"/>
            <w:vAlign w:val="center"/>
          </w:tcPr>
          <w:p w14:paraId="2430985F">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服务与支持评分（1分）：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承诺在发生故障的情况下，乙方承诺发生故障维修到达现场时间≤2小时的得1分，不承诺或者承诺不满足不得分。（承诺格式自拟）</w:t>
            </w:r>
          </w:p>
        </w:tc>
        <w:tc>
          <w:tcPr>
            <w:tcW w:w="595" w:type="pct"/>
            <w:tcBorders>
              <w:top w:val="nil"/>
              <w:left w:val="nil"/>
              <w:bottom w:val="single" w:color="auto" w:sz="4" w:space="0"/>
              <w:right w:val="single" w:color="auto" w:sz="4" w:space="0"/>
            </w:tcBorders>
            <w:shd w:val="clear" w:color="auto" w:fill="auto"/>
            <w:vAlign w:val="center"/>
          </w:tcPr>
          <w:p w14:paraId="0614E049">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r>
      <w:tr w14:paraId="13B82F5F">
        <w:tblPrEx>
          <w:tblCellMar>
            <w:top w:w="0" w:type="dxa"/>
            <w:left w:w="108" w:type="dxa"/>
            <w:bottom w:w="0" w:type="dxa"/>
            <w:right w:w="108" w:type="dxa"/>
          </w:tblCellMar>
        </w:tblPrEx>
        <w:trPr>
          <w:trHeight w:val="614" w:hRule="atLeast"/>
          <w:jc w:val="center"/>
        </w:trPr>
        <w:tc>
          <w:tcPr>
            <w:tcW w:w="271" w:type="pct"/>
            <w:tcBorders>
              <w:top w:val="single" w:color="auto" w:sz="4" w:space="0"/>
              <w:left w:val="single" w:color="auto" w:sz="4" w:space="0"/>
              <w:bottom w:val="single" w:color="auto" w:sz="4" w:space="0"/>
              <w:right w:val="single" w:color="auto" w:sz="4" w:space="0"/>
            </w:tcBorders>
            <w:shd w:val="clear" w:color="auto" w:fill="auto"/>
            <w:vAlign w:val="center"/>
          </w:tcPr>
          <w:p w14:paraId="3137E07B">
            <w:pPr>
              <w:widowControl/>
              <w:jc w:val="center"/>
              <w:rPr>
                <w:rFonts w:hint="eastAsia" w:ascii="宋体" w:hAnsi="宋体" w:eastAsia="宋体" w:cs="宋体"/>
                <w:kern w:val="0"/>
                <w:sz w:val="21"/>
                <w:szCs w:val="21"/>
                <w:lang w:eastAsia="zh-CN"/>
              </w:rPr>
            </w:pPr>
            <w:r>
              <w:rPr>
                <w:rFonts w:hint="eastAsia" w:ascii="宋体" w:hAnsi="宋体" w:eastAsia="宋体" w:cs="宋体"/>
                <w:kern w:val="0"/>
                <w:sz w:val="21"/>
                <w:szCs w:val="21"/>
                <w:lang w:val="en-US" w:eastAsia="zh-CN"/>
              </w:rPr>
              <w:t>3</w:t>
            </w:r>
          </w:p>
        </w:tc>
        <w:tc>
          <w:tcPr>
            <w:tcW w:w="1208" w:type="dxa"/>
            <w:tcBorders>
              <w:top w:val="nil"/>
              <w:left w:val="nil"/>
              <w:bottom w:val="single" w:color="auto" w:sz="4" w:space="0"/>
              <w:right w:val="single" w:color="auto" w:sz="4" w:space="0"/>
            </w:tcBorders>
            <w:shd w:val="clear" w:color="auto" w:fill="auto"/>
            <w:vAlign w:val="center"/>
          </w:tcPr>
          <w:p w14:paraId="11D6A24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交付满足度</w:t>
            </w:r>
          </w:p>
        </w:tc>
        <w:tc>
          <w:tcPr>
            <w:tcW w:w="6515" w:type="dxa"/>
            <w:tcBorders>
              <w:top w:val="nil"/>
              <w:left w:val="nil"/>
              <w:bottom w:val="single" w:color="auto" w:sz="4" w:space="0"/>
              <w:right w:val="single" w:color="auto" w:sz="4" w:space="0"/>
            </w:tcBorders>
            <w:shd w:val="clear" w:color="auto" w:fill="auto"/>
            <w:vAlign w:val="center"/>
          </w:tcPr>
          <w:p w14:paraId="395045BA">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进度要求评分（3分）：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响应人承诺合同签订后90天（日历天）内完工并交付使用的不得分，每提前5天加1分，最多得3分。（承诺格式自拟）</w:t>
            </w:r>
          </w:p>
        </w:tc>
        <w:tc>
          <w:tcPr>
            <w:tcW w:w="595" w:type="pct"/>
            <w:tcBorders>
              <w:top w:val="nil"/>
              <w:left w:val="nil"/>
              <w:bottom w:val="single" w:color="auto" w:sz="4" w:space="0"/>
              <w:right w:val="single" w:color="auto" w:sz="4" w:space="0"/>
            </w:tcBorders>
            <w:shd w:val="clear" w:color="auto" w:fill="auto"/>
            <w:vAlign w:val="center"/>
          </w:tcPr>
          <w:p w14:paraId="2E7B8AFC">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3</w:t>
            </w:r>
          </w:p>
        </w:tc>
      </w:tr>
      <w:tr w14:paraId="1CCC4FB1">
        <w:tblPrEx>
          <w:tblCellMar>
            <w:top w:w="0" w:type="dxa"/>
            <w:left w:w="108" w:type="dxa"/>
            <w:bottom w:w="0" w:type="dxa"/>
            <w:right w:w="108" w:type="dxa"/>
          </w:tblCellMar>
        </w:tblPrEx>
        <w:trPr>
          <w:trHeight w:val="252" w:hRule="atLeast"/>
          <w:jc w:val="center"/>
        </w:trPr>
        <w:tc>
          <w:tcPr>
            <w:tcW w:w="4404"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ACB9D12">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合计</w:t>
            </w:r>
          </w:p>
        </w:tc>
        <w:tc>
          <w:tcPr>
            <w:tcW w:w="595" w:type="pct"/>
            <w:tcBorders>
              <w:top w:val="single" w:color="auto" w:sz="4" w:space="0"/>
              <w:left w:val="nil"/>
              <w:bottom w:val="single" w:color="auto" w:sz="4" w:space="0"/>
              <w:right w:val="single" w:color="auto" w:sz="4" w:space="0"/>
            </w:tcBorders>
            <w:shd w:val="clear" w:color="auto" w:fill="auto"/>
            <w:vAlign w:val="center"/>
          </w:tcPr>
          <w:p w14:paraId="6A512CD3">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w:t>
            </w:r>
          </w:p>
        </w:tc>
      </w:tr>
    </w:tbl>
    <w:p w14:paraId="1B54992F">
      <w:pPr>
        <w:widowControl/>
        <w:jc w:val="left"/>
        <w:rPr>
          <w:rFonts w:hint="eastAsia" w:ascii="宋体" w:hAnsi="宋体" w:cs="宋体"/>
          <w:b/>
          <w:bCs/>
          <w:szCs w:val="21"/>
          <w:lang w:val="en-US" w:eastAsia="zh-CN"/>
        </w:rPr>
      </w:pPr>
    </w:p>
    <w:p w14:paraId="5C1C0D29">
      <w:pPr>
        <w:widowControl/>
        <w:jc w:val="left"/>
        <w:rPr>
          <w:rFonts w:hint="eastAsia" w:ascii="宋体" w:hAnsi="宋体" w:eastAsia="宋体" w:cs="宋体"/>
          <w:b/>
          <w:bCs/>
          <w:szCs w:val="21"/>
        </w:rPr>
      </w:pPr>
      <w:r>
        <w:rPr>
          <w:rFonts w:hint="eastAsia" w:ascii="宋体" w:hAnsi="宋体" w:cs="宋体"/>
          <w:b/>
          <w:bCs/>
          <w:szCs w:val="21"/>
          <w:lang w:val="en-US" w:eastAsia="zh-CN"/>
        </w:rPr>
        <w:t>3</w:t>
      </w:r>
      <w:r>
        <w:rPr>
          <w:rFonts w:hint="eastAsia" w:ascii="宋体" w:hAnsi="宋体" w:eastAsia="宋体" w:cs="宋体"/>
          <w:b/>
          <w:bCs/>
          <w:szCs w:val="21"/>
        </w:rPr>
        <w:t>.技术详细评审标准表（</w:t>
      </w:r>
      <w:r>
        <w:rPr>
          <w:rFonts w:hint="eastAsia" w:ascii="宋体" w:hAnsi="宋体" w:cs="宋体"/>
          <w:b/>
          <w:bCs/>
          <w:szCs w:val="21"/>
          <w:lang w:val="en-US" w:eastAsia="zh-CN"/>
        </w:rPr>
        <w:t>50</w:t>
      </w:r>
      <w:r>
        <w:rPr>
          <w:rFonts w:hint="eastAsia" w:ascii="宋体" w:hAnsi="宋体" w:eastAsia="宋体" w:cs="宋体"/>
          <w:b/>
          <w:bCs/>
          <w:szCs w:val="21"/>
        </w:rPr>
        <w:t>分）</w:t>
      </w:r>
    </w:p>
    <w:bookmarkEnd w:id="1331"/>
    <w:tbl>
      <w:tblPr>
        <w:tblStyle w:val="39"/>
        <w:tblW w:w="9267" w:type="dxa"/>
        <w:jc w:val="center"/>
        <w:shd w:val="clear" w:color="auto" w:fill="auto"/>
        <w:tblLayout w:type="autofit"/>
        <w:tblCellMar>
          <w:top w:w="0" w:type="dxa"/>
          <w:left w:w="108" w:type="dxa"/>
          <w:bottom w:w="0" w:type="dxa"/>
          <w:right w:w="108" w:type="dxa"/>
        </w:tblCellMar>
      </w:tblPr>
      <w:tblGrid>
        <w:gridCol w:w="1341"/>
        <w:gridCol w:w="1280"/>
        <w:gridCol w:w="5661"/>
        <w:gridCol w:w="985"/>
      </w:tblGrid>
      <w:tr w14:paraId="5993A742">
        <w:trPr>
          <w:trHeight w:val="90"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0379048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1ADD9C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评审因素</w:t>
            </w:r>
          </w:p>
        </w:tc>
        <w:tc>
          <w:tcPr>
            <w:tcW w:w="5661" w:type="dxa"/>
            <w:tcBorders>
              <w:top w:val="single" w:color="auto" w:sz="4" w:space="0"/>
              <w:left w:val="nil"/>
              <w:bottom w:val="single" w:color="auto" w:sz="4" w:space="0"/>
              <w:right w:val="single" w:color="auto" w:sz="4" w:space="0"/>
            </w:tcBorders>
            <w:shd w:val="clear" w:color="auto" w:fill="auto"/>
            <w:vAlign w:val="center"/>
          </w:tcPr>
          <w:p w14:paraId="07393795">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详细评分规则</w:t>
            </w:r>
          </w:p>
        </w:tc>
        <w:tc>
          <w:tcPr>
            <w:tcW w:w="985" w:type="dxa"/>
            <w:tcBorders>
              <w:top w:val="single" w:color="auto" w:sz="4" w:space="0"/>
              <w:left w:val="nil"/>
              <w:bottom w:val="single" w:color="auto" w:sz="4" w:space="0"/>
              <w:right w:val="single" w:color="auto" w:sz="4" w:space="0"/>
            </w:tcBorders>
            <w:shd w:val="clear" w:color="auto" w:fill="auto"/>
            <w:vAlign w:val="center"/>
          </w:tcPr>
          <w:p w14:paraId="50FCA119">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权重</w:t>
            </w:r>
          </w:p>
          <w:p w14:paraId="5C788A2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比值</w:t>
            </w:r>
          </w:p>
        </w:tc>
      </w:tr>
      <w:tr w14:paraId="60CE5BD6">
        <w:tblPrEx>
          <w:shd w:val="clear" w:color="auto" w:fill="auto"/>
          <w:tblCellMar>
            <w:top w:w="0" w:type="dxa"/>
            <w:left w:w="108" w:type="dxa"/>
            <w:bottom w:w="0" w:type="dxa"/>
            <w:right w:w="108" w:type="dxa"/>
          </w:tblCellMar>
        </w:tblPrEx>
        <w:trPr>
          <w:trHeight w:val="4857"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01811AF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80" w:type="dxa"/>
            <w:tcBorders>
              <w:top w:val="nil"/>
              <w:left w:val="single" w:color="auto" w:sz="4" w:space="0"/>
              <w:bottom w:val="single" w:color="auto" w:sz="4" w:space="0"/>
              <w:right w:val="single" w:color="auto" w:sz="4" w:space="0"/>
            </w:tcBorders>
            <w:shd w:val="clear" w:color="auto" w:fill="auto"/>
            <w:vAlign w:val="center"/>
          </w:tcPr>
          <w:p w14:paraId="147D3292">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软件产品功能和性能</w:t>
            </w:r>
          </w:p>
        </w:tc>
        <w:tc>
          <w:tcPr>
            <w:tcW w:w="5661" w:type="dxa"/>
            <w:tcBorders>
              <w:top w:val="nil"/>
              <w:left w:val="nil"/>
              <w:bottom w:val="single" w:color="auto" w:sz="4" w:space="0"/>
              <w:right w:val="single" w:color="auto" w:sz="4" w:space="0"/>
            </w:tcBorders>
            <w:shd w:val="clear" w:color="auto" w:fill="auto"/>
            <w:vAlign w:val="center"/>
          </w:tcPr>
          <w:p w14:paraId="45311CB0">
            <w:pPr>
              <w:keepNext w:val="0"/>
              <w:keepLines w:val="0"/>
              <w:widowControl/>
              <w:suppressLineNumbers w:val="0"/>
              <w:jc w:val="left"/>
              <w:textAlignment w:val="center"/>
              <w:rPr>
                <w:rFonts w:hint="eastAsia" w:ascii="宋体" w:hAnsi="宋体" w:eastAsia="宋体" w:cs="宋体"/>
                <w:b/>
                <w:bCs/>
                <w:kern w:val="0"/>
                <w:sz w:val="21"/>
                <w:szCs w:val="21"/>
              </w:rPr>
            </w:pPr>
            <w:r>
              <w:rPr>
                <w:rFonts w:hint="eastAsia" w:ascii="宋体" w:hAnsi="宋体" w:eastAsia="宋体" w:cs="宋体"/>
                <w:b/>
                <w:bCs/>
                <w:kern w:val="0"/>
                <w:sz w:val="21"/>
                <w:szCs w:val="21"/>
              </w:rPr>
              <w:t>软件产品功能和性能评分（8分）：</w:t>
            </w:r>
          </w:p>
          <w:p w14:paraId="1225B32D">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（1）支持微信、支付宝、医保等多种结算途径，支持接入院内统一支付平台。</w:t>
            </w:r>
          </w:p>
          <w:p w14:paraId="52E31A48">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（2）支持通过电子医保亲情账号完成出院费用结算，支持使用共济账户进行出院结算；支持通过刷脸、刷身份证、输入身份证号等方式进行住院费用的医保结算。</w:t>
            </w:r>
          </w:p>
          <w:p w14:paraId="0A75727D">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（3）支持查询超时和未成功的充值和结算记录，并进行继续进行结算(无需回滚整个结算流程)；</w:t>
            </w:r>
          </w:p>
          <w:p w14:paraId="1AD538D9">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（4）具备桌面刷脸、床旁结算、微信、支付宝小程序结算功能。</w:t>
            </w:r>
          </w:p>
          <w:p w14:paraId="226A8628">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（5)支持结算时同时扣除预交金，应退部分自动通过原渠道退款。</w:t>
            </w:r>
          </w:p>
          <w:p w14:paraId="68104272">
            <w:pPr>
              <w:keepNext w:val="0"/>
              <w:keepLines w:val="0"/>
              <w:widowControl/>
              <w:suppressLineNumbers w:val="0"/>
              <w:jc w:val="left"/>
              <w:textAlignment w:val="center"/>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以上5项功能需要提供功能设计截图展示，可采用响应人的同类型系统或测试系统，全部满足要求得8分，一项不提供证明材料的或证明材料不能证明满足功能要求的，每项扣1.6分，扣完为止。</w:t>
            </w:r>
          </w:p>
        </w:tc>
        <w:tc>
          <w:tcPr>
            <w:tcW w:w="985" w:type="dxa"/>
            <w:tcBorders>
              <w:top w:val="nil"/>
              <w:left w:val="nil"/>
              <w:bottom w:val="single" w:color="auto" w:sz="4" w:space="0"/>
              <w:right w:val="single" w:color="auto" w:sz="4" w:space="0"/>
            </w:tcBorders>
            <w:shd w:val="clear" w:color="auto" w:fill="auto"/>
            <w:vAlign w:val="center"/>
          </w:tcPr>
          <w:p w14:paraId="5629F983">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8</w:t>
            </w:r>
          </w:p>
        </w:tc>
      </w:tr>
      <w:tr w14:paraId="5CD08E4A">
        <w:tblPrEx>
          <w:shd w:val="clear" w:color="auto" w:fill="auto"/>
          <w:tblCellMar>
            <w:top w:w="0" w:type="dxa"/>
            <w:left w:w="108" w:type="dxa"/>
            <w:bottom w:w="0" w:type="dxa"/>
            <w:right w:w="108" w:type="dxa"/>
          </w:tblCellMar>
        </w:tblPrEx>
        <w:trPr>
          <w:trHeight w:val="1075"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0BF3AD0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74BF23C1">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产品原型展示</w:t>
            </w:r>
          </w:p>
        </w:tc>
        <w:tc>
          <w:tcPr>
            <w:tcW w:w="5661" w:type="dxa"/>
            <w:tcBorders>
              <w:top w:val="nil"/>
              <w:left w:val="nil"/>
              <w:bottom w:val="single" w:color="auto" w:sz="4" w:space="0"/>
              <w:right w:val="single" w:color="auto" w:sz="4" w:space="0"/>
            </w:tcBorders>
            <w:shd w:val="clear" w:color="auto" w:fill="auto"/>
            <w:vAlign w:val="center"/>
          </w:tcPr>
          <w:p w14:paraId="4A0DCE91">
            <w:pPr>
              <w:keepNext w:val="0"/>
              <w:keepLines w:val="0"/>
              <w:widowControl/>
              <w:suppressLineNumbers w:val="0"/>
              <w:jc w:val="left"/>
              <w:textAlignment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一、产品原型展示评分（2分）：</w:t>
            </w:r>
          </w:p>
          <w:p w14:paraId="324EA957">
            <w:pPr>
              <w:keepNext w:val="0"/>
              <w:keepLines w:val="0"/>
              <w:widowControl/>
              <w:suppressLineNumbers w:val="0"/>
              <w:jc w:val="left"/>
              <w:textAlignment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eastAsia="zh-CN"/>
              </w:rPr>
              <w:t>供应商响应时提供本项目</w:t>
            </w:r>
            <w:r>
              <w:rPr>
                <w:rFonts w:hint="eastAsia" w:ascii="宋体" w:hAnsi="宋体" w:cs="宋体"/>
                <w:b w:val="0"/>
                <w:bCs w:val="0"/>
                <w:kern w:val="0"/>
                <w:sz w:val="21"/>
                <w:szCs w:val="21"/>
                <w:lang w:val="en-US" w:eastAsia="zh-CN"/>
              </w:rPr>
              <w:t>床旁结算</w:t>
            </w:r>
            <w:r>
              <w:rPr>
                <w:rFonts w:hint="eastAsia" w:ascii="宋体" w:hAnsi="宋体" w:eastAsia="宋体" w:cs="宋体"/>
                <w:b w:val="0"/>
                <w:bCs w:val="0"/>
                <w:kern w:val="0"/>
                <w:sz w:val="21"/>
                <w:szCs w:val="21"/>
                <w:lang w:eastAsia="zh-CN"/>
              </w:rPr>
              <w:t>系统功能介绍视频，按照技术规范书中对上述系统的具体功能要求进行评审。1、根据响应人按要求提供的演示视频，判断产品功能满足程度。分为A（全部满足，功能优秀）、B（基本满足，功能一般）、C（部分满足）三等级评分，A＝(0.6，1]、B＝(0.3，0.6]、C＝[0，0.3]。</w:t>
            </w:r>
          </w:p>
          <w:p w14:paraId="343093A0">
            <w:pPr>
              <w:keepNext w:val="0"/>
              <w:keepLines w:val="0"/>
              <w:widowControl/>
              <w:suppressLineNumbers w:val="0"/>
              <w:jc w:val="left"/>
              <w:textAlignment w:val="center"/>
              <w:rPr>
                <w:rFonts w:hint="eastAsia" w:ascii="宋体" w:hAnsi="宋体" w:eastAsia="宋体" w:cs="宋体"/>
                <w:b w:val="0"/>
                <w:bCs w:val="0"/>
                <w:kern w:val="0"/>
                <w:sz w:val="21"/>
                <w:szCs w:val="21"/>
                <w:lang w:eastAsia="zh-CN"/>
              </w:rPr>
            </w:pPr>
            <w:r>
              <w:rPr>
                <w:rFonts w:hint="eastAsia" w:ascii="宋体" w:hAnsi="宋体" w:eastAsia="宋体" w:cs="宋体"/>
                <w:b w:val="0"/>
                <w:bCs w:val="0"/>
                <w:kern w:val="0"/>
                <w:sz w:val="21"/>
                <w:szCs w:val="21"/>
                <w:lang w:eastAsia="zh-CN"/>
              </w:rPr>
              <w:t>2、根据响应人按要求提供的演示视频，判断供应商开发响应能力。分为A（开发能力强，响应敏捷迅速）、B（开发能力基本满足要求，响应速度基本满足要求）、C（能力存在明显不足、响应存在不足）三等级评分，根据响应人按要求提供的演示视频，判断产品功能满足程度。分为A（全部满足，功能优秀）、B（基本满足，功能一般）、C（部分满足）三等级评分，A＝(0.6，1]、B＝(0.3，0.6]、C＝[0，0.3]。</w:t>
            </w:r>
          </w:p>
          <w:p w14:paraId="2E4206D7">
            <w:pPr>
              <w:keepNext w:val="0"/>
              <w:keepLines w:val="0"/>
              <w:widowControl/>
              <w:suppressLineNumbers w:val="0"/>
              <w:jc w:val="left"/>
              <w:textAlignment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lang w:eastAsia="zh-CN"/>
              </w:rPr>
              <w:t>二、安全测试演示评分（2分）：</w:t>
            </w:r>
          </w:p>
          <w:p w14:paraId="57436762">
            <w:pPr>
              <w:keepNext w:val="0"/>
              <w:keepLines w:val="0"/>
              <w:widowControl/>
              <w:suppressLineNumbers w:val="0"/>
              <w:jc w:val="left"/>
              <w:textAlignment w:val="center"/>
              <w:rPr>
                <w:rFonts w:hint="eastAsia" w:ascii="宋体" w:hAnsi="宋体" w:eastAsia="宋体" w:cs="宋体"/>
                <w:kern w:val="0"/>
                <w:sz w:val="21"/>
                <w:szCs w:val="21"/>
                <w:lang w:eastAsia="zh-CN"/>
              </w:rPr>
            </w:pPr>
            <w:r>
              <w:rPr>
                <w:rFonts w:hint="eastAsia" w:ascii="宋体" w:hAnsi="宋体" w:eastAsia="宋体" w:cs="宋体"/>
                <w:b/>
                <w:bCs/>
                <w:kern w:val="0"/>
                <w:sz w:val="21"/>
                <w:szCs w:val="21"/>
                <w:lang w:eastAsia="zh-CN"/>
              </w:rPr>
              <w:t xml:space="preserve">   </w:t>
            </w:r>
            <w:r>
              <w:rPr>
                <w:rFonts w:hint="eastAsia" w:ascii="宋体" w:hAnsi="宋体" w:eastAsia="宋体" w:cs="宋体"/>
                <w:b w:val="0"/>
                <w:bCs w:val="0"/>
                <w:kern w:val="0"/>
                <w:sz w:val="21"/>
                <w:szCs w:val="21"/>
                <w:lang w:eastAsia="zh-CN"/>
              </w:rPr>
              <w:t>提供原型产品阶段的软件成分信息清单，按照清单提供软件安全测试结果截图（包括漏洞扫描、代码审计、源代码成分检测、渗透测试、病毒扫描等）， 确保当前环节软件无病毒、无漏洞、无后门，验证当前软件成分的安全性。分为A（测试全面、安全性高）、B（测试少量缺失、安全性一般）、C（测试缺失较多、安全性差）三等级评分，A＝(1.5，2]、B＝(0.7，1.5]、C＝[0，0.7]。</w:t>
            </w:r>
          </w:p>
        </w:tc>
        <w:tc>
          <w:tcPr>
            <w:tcW w:w="985" w:type="dxa"/>
            <w:tcBorders>
              <w:top w:val="single" w:color="auto" w:sz="4" w:space="0"/>
              <w:left w:val="nil"/>
              <w:bottom w:val="single" w:color="auto" w:sz="4" w:space="0"/>
              <w:right w:val="single" w:color="auto" w:sz="4" w:space="0"/>
            </w:tcBorders>
            <w:shd w:val="clear" w:color="auto" w:fill="auto"/>
            <w:vAlign w:val="center"/>
          </w:tcPr>
          <w:p w14:paraId="4C36A50A">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4</w:t>
            </w:r>
          </w:p>
        </w:tc>
      </w:tr>
      <w:tr w14:paraId="6926C7B1">
        <w:tblPrEx>
          <w:tblCellMar>
            <w:top w:w="0" w:type="dxa"/>
            <w:left w:w="108" w:type="dxa"/>
            <w:bottom w:w="0" w:type="dxa"/>
            <w:right w:w="108" w:type="dxa"/>
          </w:tblCellMar>
        </w:tblPrEx>
        <w:trPr>
          <w:trHeight w:val="931"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5855E408">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80" w:type="dxa"/>
            <w:tcBorders>
              <w:top w:val="nil"/>
              <w:left w:val="single" w:color="auto" w:sz="4" w:space="0"/>
              <w:bottom w:val="single" w:color="auto" w:sz="4" w:space="0"/>
              <w:right w:val="single" w:color="auto" w:sz="4" w:space="0"/>
            </w:tcBorders>
            <w:shd w:val="clear" w:color="auto" w:fill="auto"/>
            <w:vAlign w:val="center"/>
          </w:tcPr>
          <w:p w14:paraId="577DF436">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交付质量水平</w:t>
            </w:r>
          </w:p>
        </w:tc>
        <w:tc>
          <w:tcPr>
            <w:tcW w:w="5661" w:type="dxa"/>
            <w:tcBorders>
              <w:top w:val="nil"/>
              <w:left w:val="nil"/>
              <w:bottom w:val="single" w:color="auto" w:sz="4" w:space="0"/>
              <w:right w:val="single" w:color="auto" w:sz="4" w:space="0"/>
            </w:tcBorders>
            <w:shd w:val="clear" w:color="auto" w:fill="auto"/>
            <w:vAlign w:val="center"/>
          </w:tcPr>
          <w:p w14:paraId="49B7F8F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验收报告评分（2分）：</w:t>
            </w:r>
            <w:r>
              <w:rPr>
                <w:rFonts w:hint="eastAsia" w:ascii="宋体" w:hAnsi="宋体" w:eastAsia="宋体" w:cs="宋体"/>
                <w:i w:val="0"/>
                <w:iCs w:val="0"/>
                <w:color w:val="000000"/>
                <w:kern w:val="0"/>
                <w:sz w:val="20"/>
                <w:szCs w:val="20"/>
                <w:u w:val="none"/>
                <w:lang w:val="en-US" w:eastAsia="zh-CN" w:bidi="ar"/>
              </w:rPr>
              <w:t>供应商提供历史类似支付或结算系统开发类项目合格的验收报告，提供1份得1分，每增加1份得1分，满分2分。</w:t>
            </w:r>
          </w:p>
          <w:p w14:paraId="292EA0BA">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注：提供验收报告复印件加盖供应商公章 。</w:t>
            </w:r>
          </w:p>
        </w:tc>
        <w:tc>
          <w:tcPr>
            <w:tcW w:w="985" w:type="dxa"/>
            <w:tcBorders>
              <w:top w:val="nil"/>
              <w:left w:val="nil"/>
              <w:bottom w:val="single" w:color="auto" w:sz="4" w:space="0"/>
              <w:right w:val="single" w:color="auto" w:sz="4" w:space="0"/>
            </w:tcBorders>
            <w:shd w:val="clear" w:color="auto" w:fill="auto"/>
            <w:vAlign w:val="center"/>
          </w:tcPr>
          <w:p w14:paraId="61C131A9">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2</w:t>
            </w:r>
          </w:p>
        </w:tc>
      </w:tr>
      <w:tr w14:paraId="0CA69A75">
        <w:tblPrEx>
          <w:tblCellMar>
            <w:top w:w="0" w:type="dxa"/>
            <w:left w:w="108" w:type="dxa"/>
            <w:bottom w:w="0" w:type="dxa"/>
            <w:right w:w="108" w:type="dxa"/>
          </w:tblCellMar>
        </w:tblPrEx>
        <w:trPr>
          <w:trHeight w:val="1443" w:hRule="atLeast"/>
          <w:jc w:val="center"/>
        </w:trPr>
        <w:tc>
          <w:tcPr>
            <w:tcW w:w="1341" w:type="dxa"/>
            <w:tcBorders>
              <w:top w:val="nil"/>
              <w:left w:val="single" w:color="auto" w:sz="4" w:space="0"/>
              <w:bottom w:val="single" w:color="auto" w:sz="4" w:space="0"/>
              <w:right w:val="single" w:color="auto" w:sz="4" w:space="0"/>
            </w:tcBorders>
            <w:shd w:val="clear" w:color="auto" w:fill="auto"/>
            <w:vAlign w:val="center"/>
          </w:tcPr>
          <w:p w14:paraId="16C15A7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80" w:type="dxa"/>
            <w:tcBorders>
              <w:top w:val="nil"/>
              <w:left w:val="single" w:color="auto" w:sz="4" w:space="0"/>
              <w:bottom w:val="single" w:color="auto" w:sz="4" w:space="0"/>
              <w:right w:val="single" w:color="auto" w:sz="4" w:space="0"/>
            </w:tcBorders>
            <w:shd w:val="clear" w:color="auto" w:fill="auto"/>
            <w:vAlign w:val="center"/>
          </w:tcPr>
          <w:p w14:paraId="78EBB66B">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在网运行质量水平</w:t>
            </w:r>
          </w:p>
        </w:tc>
        <w:tc>
          <w:tcPr>
            <w:tcW w:w="5661" w:type="dxa"/>
            <w:tcBorders>
              <w:top w:val="nil"/>
              <w:left w:val="nil"/>
              <w:bottom w:val="single" w:color="auto" w:sz="4" w:space="0"/>
              <w:right w:val="single" w:color="auto" w:sz="4" w:space="0"/>
            </w:tcBorders>
            <w:shd w:val="clear" w:color="auto" w:fill="auto"/>
            <w:vAlign w:val="center"/>
          </w:tcPr>
          <w:p w14:paraId="0C5AFD8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在网运行质量情况评分（2分）：</w:t>
            </w:r>
            <w:r>
              <w:rPr>
                <w:rFonts w:hint="eastAsia" w:ascii="宋体" w:hAnsi="宋体" w:eastAsia="宋体" w:cs="宋体"/>
                <w:i w:val="0"/>
                <w:iCs w:val="0"/>
                <w:color w:val="000000"/>
                <w:kern w:val="0"/>
                <w:sz w:val="20"/>
                <w:szCs w:val="20"/>
                <w:u w:val="none"/>
                <w:lang w:val="en-US" w:eastAsia="zh-CN" w:bidi="ar"/>
              </w:rPr>
              <w:t>供应商提供类似支付或结算系统开发类应用客户的运行情况证明（或报告、说明等，须提供近3年（2022年</w:t>
            </w:r>
            <w:r>
              <w:rPr>
                <w:rFonts w:hint="eastAsia" w:ascii="宋体" w:hAnsi="宋体" w:cs="宋体"/>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月至响应截止时间）内的运行情况证明），运行情况良好（或正常、稳定等）得满分2分，否则不得分。</w:t>
            </w:r>
          </w:p>
          <w:p w14:paraId="0EF1F555">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注：建设单位或业主单位须在运行情况证明上盖章。</w:t>
            </w:r>
          </w:p>
        </w:tc>
        <w:tc>
          <w:tcPr>
            <w:tcW w:w="985" w:type="dxa"/>
            <w:tcBorders>
              <w:top w:val="nil"/>
              <w:left w:val="nil"/>
              <w:bottom w:val="single" w:color="auto" w:sz="4" w:space="0"/>
              <w:right w:val="single" w:color="auto" w:sz="4" w:space="0"/>
            </w:tcBorders>
            <w:shd w:val="clear" w:color="auto" w:fill="auto"/>
            <w:vAlign w:val="center"/>
          </w:tcPr>
          <w:p w14:paraId="05D62279">
            <w:pPr>
              <w:keepNext w:val="0"/>
              <w:keepLines w:val="0"/>
              <w:widowControl/>
              <w:suppressLineNumbers w:val="0"/>
              <w:jc w:val="center"/>
              <w:textAlignment w:val="center"/>
              <w:rPr>
                <w:rFonts w:hint="eastAsia"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2</w:t>
            </w:r>
          </w:p>
        </w:tc>
      </w:tr>
      <w:tr w14:paraId="1B02929E">
        <w:tblPrEx>
          <w:shd w:val="clear" w:color="auto" w:fill="auto"/>
          <w:tblCellMar>
            <w:top w:w="0" w:type="dxa"/>
            <w:left w:w="108" w:type="dxa"/>
            <w:bottom w:w="0" w:type="dxa"/>
            <w:right w:w="108" w:type="dxa"/>
          </w:tblCellMar>
        </w:tblPrEx>
        <w:trPr>
          <w:trHeight w:val="696"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AF5701A">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30D7B43">
            <w:pPr>
              <w:keepNext w:val="0"/>
              <w:keepLines w:val="0"/>
              <w:widowControl/>
              <w:suppressLineNumbers w:val="0"/>
              <w:jc w:val="center"/>
              <w:textAlignment w:val="center"/>
              <w:rPr>
                <w:rFonts w:hint="eastAsia" w:ascii="宋体" w:hAnsi="宋体" w:eastAsia="宋体" w:cs="宋体"/>
                <w:kern w:val="0"/>
                <w:sz w:val="21"/>
                <w:szCs w:val="21"/>
              </w:rPr>
            </w:pPr>
            <w:r>
              <w:rPr>
                <w:rFonts w:hint="eastAsia" w:ascii="宋体" w:hAnsi="宋体" w:eastAsia="宋体" w:cs="宋体"/>
                <w:i w:val="0"/>
                <w:iCs w:val="0"/>
                <w:color w:val="000000"/>
                <w:kern w:val="0"/>
                <w:sz w:val="20"/>
                <w:szCs w:val="20"/>
                <w:u w:val="none"/>
                <w:lang w:val="en-US" w:eastAsia="zh-CN" w:bidi="ar"/>
              </w:rPr>
              <w:t>技术方案建议</w:t>
            </w:r>
          </w:p>
        </w:tc>
        <w:tc>
          <w:tcPr>
            <w:tcW w:w="5661" w:type="dxa"/>
            <w:tcBorders>
              <w:top w:val="single" w:color="auto" w:sz="4" w:space="0"/>
              <w:left w:val="nil"/>
              <w:bottom w:val="single" w:color="auto" w:sz="4" w:space="0"/>
              <w:right w:val="single" w:color="auto" w:sz="4" w:space="0"/>
            </w:tcBorders>
            <w:shd w:val="clear" w:color="auto" w:fill="auto"/>
            <w:vAlign w:val="center"/>
          </w:tcPr>
          <w:p w14:paraId="1F466D68">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技术方案评分（10分）：</w:t>
            </w:r>
            <w:r>
              <w:rPr>
                <w:rFonts w:hint="eastAsia" w:ascii="宋体" w:hAnsi="宋体" w:eastAsia="宋体" w:cs="宋体"/>
                <w:i w:val="0"/>
                <w:iCs w:val="0"/>
                <w:color w:val="000000"/>
                <w:kern w:val="0"/>
                <w:sz w:val="20"/>
                <w:szCs w:val="20"/>
                <w:u w:val="none"/>
                <w:lang w:val="en-US" w:eastAsia="zh-CN" w:bidi="ar"/>
              </w:rPr>
              <w:t>供应商根据项目实际情况，编制针对性的技术方案，包含：1、系统总体架构；2、功能设计；3、安全性措施；4、可靠性措施；5、兼容性措施等5项内容。根据每项内容进行评审，每项分值为2分，5项合计满分10分，每项分为A（优良，方案详细、合理、针对性强）、B（一般，方案较详细、较合理、针对性一般）、C（较差，方案简单、合理性较差、无针对性）三个等级评分，A＝（1.4，2]、B＝（0.7，1.4]、C＝[0，0.7]。</w:t>
            </w:r>
          </w:p>
        </w:tc>
        <w:tc>
          <w:tcPr>
            <w:tcW w:w="985" w:type="dxa"/>
            <w:tcBorders>
              <w:top w:val="single" w:color="auto" w:sz="4" w:space="0"/>
              <w:left w:val="nil"/>
              <w:bottom w:val="single" w:color="auto" w:sz="4" w:space="0"/>
              <w:right w:val="single" w:color="auto" w:sz="4" w:space="0"/>
            </w:tcBorders>
            <w:shd w:val="clear" w:color="auto" w:fill="auto"/>
            <w:vAlign w:val="center"/>
          </w:tcPr>
          <w:p w14:paraId="74C3A140">
            <w:pPr>
              <w:keepNext w:val="0"/>
              <w:keepLines w:val="0"/>
              <w:widowControl/>
              <w:suppressLineNumbers w:val="0"/>
              <w:jc w:val="center"/>
              <w:textAlignment w:val="center"/>
              <w:rPr>
                <w:rFonts w:hint="default" w:ascii="宋体" w:hAnsi="宋体" w:eastAsia="宋体" w:cs="宋体"/>
                <w:kern w:val="0"/>
                <w:sz w:val="21"/>
                <w:szCs w:val="21"/>
                <w:lang w:val="en-US" w:eastAsia="zh-CN"/>
              </w:rPr>
            </w:pPr>
            <w:r>
              <w:rPr>
                <w:rFonts w:hint="eastAsia" w:ascii="宋体" w:hAnsi="宋体" w:cs="宋体"/>
                <w:i w:val="0"/>
                <w:iCs w:val="0"/>
                <w:color w:val="000000"/>
                <w:kern w:val="0"/>
                <w:sz w:val="21"/>
                <w:szCs w:val="21"/>
                <w:u w:val="none"/>
                <w:lang w:val="en-US" w:eastAsia="zh-CN" w:bidi="ar"/>
              </w:rPr>
              <w:t>10</w:t>
            </w:r>
          </w:p>
        </w:tc>
      </w:tr>
      <w:tr w14:paraId="60E5D892">
        <w:tblPrEx>
          <w:tblCellMar>
            <w:top w:w="0" w:type="dxa"/>
            <w:left w:w="108" w:type="dxa"/>
            <w:bottom w:w="0" w:type="dxa"/>
            <w:right w:w="108" w:type="dxa"/>
          </w:tblCellMar>
        </w:tblPrEx>
        <w:trPr>
          <w:trHeight w:val="189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609A510">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6</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5A56AC9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开发过程管理</w:t>
            </w:r>
          </w:p>
        </w:tc>
        <w:tc>
          <w:tcPr>
            <w:tcW w:w="5661" w:type="dxa"/>
            <w:tcBorders>
              <w:top w:val="single" w:color="auto" w:sz="4" w:space="0"/>
              <w:left w:val="nil"/>
              <w:bottom w:val="single" w:color="auto" w:sz="4" w:space="0"/>
              <w:right w:val="single" w:color="auto" w:sz="4" w:space="0"/>
            </w:tcBorders>
            <w:shd w:val="clear" w:color="auto" w:fill="auto"/>
            <w:vAlign w:val="center"/>
          </w:tcPr>
          <w:p w14:paraId="77DA3B04">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开发过程管理评分（4分）：</w:t>
            </w:r>
            <w:r>
              <w:rPr>
                <w:rFonts w:hint="eastAsia" w:ascii="宋体" w:hAnsi="宋体" w:eastAsia="宋体" w:cs="宋体"/>
                <w:i w:val="0"/>
                <w:iCs w:val="0"/>
                <w:color w:val="000000"/>
                <w:kern w:val="0"/>
                <w:sz w:val="20"/>
                <w:szCs w:val="20"/>
                <w:u w:val="none"/>
                <w:lang w:val="en-US" w:eastAsia="zh-CN" w:bidi="ar"/>
              </w:rPr>
              <w:t>供应商根据项目实际情况，编制针对性的开发过程管理方案，包含：包含但不限于1、需求管理；2、架构设计；3、实施管理、4、运营维护管理等内容。根据管理方案内容进行评审，分为A（优良，方案详细、合理、针对性强）、B（一般，方案较详细、较合理、针对性一般）、C（较差，方案简单、合理性较差、无针对性）三个等级评分，A＝（2，4]、B＝（1，2]、C＝[0，1]。</w:t>
            </w:r>
          </w:p>
        </w:tc>
        <w:tc>
          <w:tcPr>
            <w:tcW w:w="985" w:type="dxa"/>
            <w:tcBorders>
              <w:top w:val="single" w:color="auto" w:sz="4" w:space="0"/>
              <w:left w:val="nil"/>
              <w:bottom w:val="single" w:color="auto" w:sz="4" w:space="0"/>
              <w:right w:val="single" w:color="auto" w:sz="4" w:space="0"/>
            </w:tcBorders>
            <w:shd w:val="clear" w:color="auto" w:fill="auto"/>
            <w:vAlign w:val="center"/>
          </w:tcPr>
          <w:p w14:paraId="2C878BA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14:paraId="29689932">
        <w:tblPrEx>
          <w:tblCellMar>
            <w:top w:w="0" w:type="dxa"/>
            <w:left w:w="108" w:type="dxa"/>
            <w:bottom w:w="0" w:type="dxa"/>
            <w:right w:w="108" w:type="dxa"/>
          </w:tblCellMar>
        </w:tblPrEx>
        <w:trPr>
          <w:trHeight w:val="710"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74392485">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7</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6D789B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服务保障措施</w:t>
            </w:r>
          </w:p>
        </w:tc>
        <w:tc>
          <w:tcPr>
            <w:tcW w:w="5661" w:type="dxa"/>
            <w:tcBorders>
              <w:top w:val="single" w:color="auto" w:sz="4" w:space="0"/>
              <w:left w:val="nil"/>
              <w:bottom w:val="single" w:color="auto" w:sz="4" w:space="0"/>
              <w:right w:val="single" w:color="auto" w:sz="4" w:space="0"/>
            </w:tcBorders>
            <w:shd w:val="clear" w:color="auto" w:fill="auto"/>
            <w:vAlign w:val="center"/>
          </w:tcPr>
          <w:p w14:paraId="4A293ECA">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保修承诺评分（4分）：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乙方为本项目所提供系统服务的保修期为[36]个月的不得分，承诺每增加3个月加1分，本项满分4分。（提供承诺）</w:t>
            </w:r>
          </w:p>
        </w:tc>
        <w:tc>
          <w:tcPr>
            <w:tcW w:w="985" w:type="dxa"/>
            <w:tcBorders>
              <w:top w:val="single" w:color="auto" w:sz="4" w:space="0"/>
              <w:left w:val="nil"/>
              <w:bottom w:val="single" w:color="auto" w:sz="4" w:space="0"/>
              <w:right w:val="single" w:color="auto" w:sz="4" w:space="0"/>
            </w:tcBorders>
            <w:shd w:val="clear" w:color="auto" w:fill="auto"/>
            <w:vAlign w:val="center"/>
          </w:tcPr>
          <w:p w14:paraId="309876A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w:t>
            </w:r>
          </w:p>
        </w:tc>
      </w:tr>
      <w:tr w14:paraId="6C9C3D43">
        <w:tblPrEx>
          <w:shd w:val="clear" w:color="auto" w:fill="auto"/>
          <w:tblCellMar>
            <w:top w:w="0" w:type="dxa"/>
            <w:left w:w="108" w:type="dxa"/>
            <w:bottom w:w="0" w:type="dxa"/>
            <w:right w:w="108" w:type="dxa"/>
          </w:tblCellMar>
        </w:tblPrEx>
        <w:trPr>
          <w:trHeight w:val="19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9D55CE7">
            <w:pPr>
              <w:widowControl/>
              <w:jc w:val="center"/>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8</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3BB293A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进度安排</w:t>
            </w:r>
          </w:p>
        </w:tc>
        <w:tc>
          <w:tcPr>
            <w:tcW w:w="5661" w:type="dxa"/>
            <w:tcBorders>
              <w:top w:val="single" w:color="auto" w:sz="4" w:space="0"/>
              <w:left w:val="nil"/>
              <w:bottom w:val="single" w:color="auto" w:sz="4" w:space="0"/>
              <w:right w:val="single" w:color="auto" w:sz="4" w:space="0"/>
            </w:tcBorders>
            <w:shd w:val="clear" w:color="auto" w:fill="auto"/>
            <w:vAlign w:val="center"/>
          </w:tcPr>
          <w:p w14:paraId="21245F30">
            <w:pPr>
              <w:keepNext w:val="0"/>
              <w:keepLines w:val="0"/>
              <w:widowControl/>
              <w:suppressLineNumbers w:val="0"/>
              <w:jc w:val="left"/>
              <w:textAlignment w:val="center"/>
              <w:rPr>
                <w:rFonts w:hint="eastAsia" w:ascii="宋体" w:hAnsi="宋体" w:eastAsia="宋体" w:cs="宋体"/>
                <w:kern w:val="0"/>
                <w:sz w:val="21"/>
                <w:szCs w:val="21"/>
              </w:rPr>
            </w:pPr>
            <w:r>
              <w:rPr>
                <w:rFonts w:hint="eastAsia" w:ascii="宋体" w:hAnsi="宋体" w:eastAsia="宋体" w:cs="宋体"/>
                <w:b/>
                <w:bCs/>
                <w:i w:val="0"/>
                <w:iCs w:val="0"/>
                <w:color w:val="000000"/>
                <w:kern w:val="0"/>
                <w:sz w:val="20"/>
                <w:szCs w:val="20"/>
                <w:u w:val="none"/>
                <w:lang w:val="en-US" w:eastAsia="zh-CN" w:bidi="ar"/>
              </w:rPr>
              <w:t>进度安排评分（2分）：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结合本项目特点提出的进度管理方案进行综合评审，进度方案包括总体筹划、项目进度计划与保证措施等。分为A（优良，方案详细、合理、针对性强）、B（一般，方案较详细、较合理、针对性一般）、C（较差，方案简单、合理性较差、无针对性）三个等级评分，A＝（1.5，2]、B＝（0.7，1.5]、C＝[0，0.7]。</w:t>
            </w:r>
          </w:p>
        </w:tc>
        <w:tc>
          <w:tcPr>
            <w:tcW w:w="985" w:type="dxa"/>
            <w:tcBorders>
              <w:top w:val="single" w:color="auto" w:sz="4" w:space="0"/>
              <w:left w:val="nil"/>
              <w:bottom w:val="single" w:color="auto" w:sz="4" w:space="0"/>
              <w:right w:val="single" w:color="auto" w:sz="4" w:space="0"/>
            </w:tcBorders>
            <w:shd w:val="clear" w:color="auto" w:fill="auto"/>
            <w:vAlign w:val="center"/>
          </w:tcPr>
          <w:p w14:paraId="49A6CAC9">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4325B2B3">
        <w:tblPrEx>
          <w:shd w:val="clear" w:color="auto" w:fill="auto"/>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550EE03F">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9</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9DD6EF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软件安全管理</w:t>
            </w:r>
          </w:p>
        </w:tc>
        <w:tc>
          <w:tcPr>
            <w:tcW w:w="5661" w:type="dxa"/>
            <w:tcBorders>
              <w:top w:val="single" w:color="auto" w:sz="4" w:space="0"/>
              <w:left w:val="nil"/>
              <w:bottom w:val="single" w:color="auto" w:sz="4" w:space="0"/>
              <w:right w:val="single" w:color="auto" w:sz="4" w:space="0"/>
            </w:tcBorders>
            <w:shd w:val="clear" w:color="auto" w:fill="auto"/>
            <w:vAlign w:val="center"/>
          </w:tcPr>
          <w:p w14:paraId="4CBA112E">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供应链安全评估评分（6分）：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 xml:space="preserve">  </w:t>
            </w:r>
            <w:r>
              <w:rPr>
                <w:rFonts w:hint="eastAsia" w:ascii="宋体" w:hAnsi="宋体" w:eastAsia="宋体" w:cs="宋体"/>
                <w:b w:val="0"/>
                <w:bCs w:val="0"/>
                <w:i w:val="0"/>
                <w:iCs w:val="0"/>
                <w:color w:val="000000"/>
                <w:kern w:val="0"/>
                <w:sz w:val="20"/>
                <w:szCs w:val="20"/>
                <w:u w:val="none"/>
                <w:lang w:val="en-US" w:eastAsia="zh-CN" w:bidi="ar"/>
              </w:rPr>
              <w:t xml:space="preserve"> 供应商提交外部组件软件成分信息清单（格式见外部组件软件成分信息清单模版），清单包括软件基本信息、软件成分明细（开发工具类、第三方软件类、开源软件类）、合法获取开发工具、开源软件、第三方软件使用权的证明材料等。根据软件成分信息清单对软件供应链风险进行评估，资料齐全、基本不存在供应链安全风险的得(4-6]分；资料少量缺失、可能存在供应链安全风险但可接受的得(2-4]分；资料缺失较多、可能存在较高供应链安全风险的得[0-2]分。</w:t>
            </w:r>
          </w:p>
          <w:p w14:paraId="73BDAD1D">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注：需提供证明材料，未提供证明材料视为供应链安全风险程度高；未提供软件成分信息清单的将被否决响应。</w:t>
            </w:r>
          </w:p>
        </w:tc>
        <w:tc>
          <w:tcPr>
            <w:tcW w:w="985" w:type="dxa"/>
            <w:tcBorders>
              <w:top w:val="single" w:color="auto" w:sz="4" w:space="0"/>
              <w:left w:val="nil"/>
              <w:bottom w:val="single" w:color="auto" w:sz="4" w:space="0"/>
              <w:right w:val="single" w:color="auto" w:sz="4" w:space="0"/>
            </w:tcBorders>
            <w:shd w:val="clear" w:color="auto" w:fill="auto"/>
            <w:vAlign w:val="center"/>
          </w:tcPr>
          <w:p w14:paraId="1D47FE8D">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6</w:t>
            </w:r>
          </w:p>
        </w:tc>
      </w:tr>
      <w:tr w14:paraId="0C667A91">
        <w:tblPrEx>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721E36A4">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10</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21669C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网络安全管理能力</w:t>
            </w:r>
          </w:p>
        </w:tc>
        <w:tc>
          <w:tcPr>
            <w:tcW w:w="5661" w:type="dxa"/>
            <w:tcBorders>
              <w:top w:val="single" w:color="auto" w:sz="4" w:space="0"/>
              <w:left w:val="nil"/>
              <w:bottom w:val="single" w:color="auto" w:sz="4" w:space="0"/>
              <w:right w:val="single" w:color="auto" w:sz="4" w:space="0"/>
            </w:tcBorders>
            <w:shd w:val="clear" w:color="auto" w:fill="auto"/>
            <w:vAlign w:val="center"/>
          </w:tcPr>
          <w:p w14:paraId="5FF4AE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网络安全管理能力评分（2分）：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供应商提交的网络安全情况报告评分，网络安全情况报告需包括以下两个方面内容：1.网络安全管理制度及安全运营情况，主要针对开发人员安全意识培训、开源组件第三方软件的选型、开发测试工具的选用、对引入组件各类工具的安全漏洞病毒的定位、修复策略、软件安全方面的测试、安全检测工具、风险应急响应机制、是否建立开源组件工具的资产台账，并动态管理、人员保密性要求等。（需提交相关制度正式文件、安全运行检查原始记录文件等证明材料）；2.近3年涉及本次投标相关系统软硬件或服务等被相关安全监督部门书面通报存在网络安全重大隐患或存在可能导致安全事件的风险和行政处罚等情况；3.安全漏洞自查承诺（格式自理）：经自查本次响应产品不存在《工业和信息化部网络安全威胁和漏洞信息共享平台（NVDB）》已公布的互联网暴露面及内网系统系统高、中危漏洞。</w:t>
            </w:r>
          </w:p>
          <w:p w14:paraId="5F19D0B7">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    管理制度不完整、无安全运行情况或安全运行情况较差、得[0-0.5]分；管理制度较完整、运行情况一般的得、被书面通报存在重大隐患但已按按要求整改的（0.5-1]分；管理制度完整、运行情况较好、管理先进的得（1-2]分；未提供报告、近3年内被行政处罚的为0分。（未提供安全漏洞自查承诺、报告隐瞒上述安全隐患、行政处罚的将被否决响应）</w:t>
            </w:r>
          </w:p>
        </w:tc>
        <w:tc>
          <w:tcPr>
            <w:tcW w:w="985" w:type="dxa"/>
            <w:tcBorders>
              <w:top w:val="single" w:color="auto" w:sz="4" w:space="0"/>
              <w:left w:val="nil"/>
              <w:bottom w:val="single" w:color="auto" w:sz="4" w:space="0"/>
              <w:right w:val="single" w:color="auto" w:sz="4" w:space="0"/>
            </w:tcBorders>
            <w:shd w:val="clear" w:color="auto" w:fill="auto"/>
            <w:vAlign w:val="center"/>
          </w:tcPr>
          <w:p w14:paraId="3D0EF781">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6C81A331">
        <w:tblPrEx>
          <w:shd w:val="clear" w:color="auto" w:fill="auto"/>
          <w:tblCellMar>
            <w:top w:w="0" w:type="dxa"/>
            <w:left w:w="108" w:type="dxa"/>
            <w:bottom w:w="0" w:type="dxa"/>
            <w:right w:w="108" w:type="dxa"/>
          </w:tblCellMar>
        </w:tblPrEx>
        <w:trPr>
          <w:trHeight w:val="559"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63EB871F">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11</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A31F9E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团队负责人</w:t>
            </w:r>
          </w:p>
        </w:tc>
        <w:tc>
          <w:tcPr>
            <w:tcW w:w="5661" w:type="dxa"/>
            <w:tcBorders>
              <w:top w:val="single" w:color="auto" w:sz="4" w:space="0"/>
              <w:left w:val="nil"/>
              <w:bottom w:val="single" w:color="auto" w:sz="4" w:space="0"/>
              <w:right w:val="single" w:color="auto" w:sz="4" w:space="0"/>
            </w:tcBorders>
            <w:shd w:val="clear" w:color="auto" w:fill="auto"/>
            <w:vAlign w:val="center"/>
          </w:tcPr>
          <w:p w14:paraId="1B737E37">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团队负责人（不含</w:t>
            </w:r>
            <w:r>
              <w:rPr>
                <w:rFonts w:hint="eastAsia" w:ascii="宋体" w:hAnsi="宋体" w:eastAsia="宋体" w:cs="宋体"/>
                <w:b/>
                <w:bCs/>
                <w:i w:val="0"/>
                <w:iCs w:val="0"/>
                <w:color w:val="000000"/>
                <w:kern w:val="0"/>
                <w:sz w:val="21"/>
                <w:szCs w:val="21"/>
                <w:u w:val="none"/>
                <w:lang w:val="en-US" w:eastAsia="zh-CN" w:bidi="ar"/>
              </w:rPr>
              <w:t>服务支撑人员</w:t>
            </w:r>
            <w:r>
              <w:rPr>
                <w:rFonts w:hint="eastAsia" w:ascii="宋体" w:hAnsi="宋体" w:eastAsia="宋体" w:cs="宋体"/>
                <w:b/>
                <w:bCs/>
                <w:i w:val="0"/>
                <w:iCs w:val="0"/>
                <w:color w:val="000000"/>
                <w:kern w:val="0"/>
                <w:sz w:val="20"/>
                <w:szCs w:val="20"/>
                <w:u w:val="none"/>
                <w:lang w:val="en-US" w:eastAsia="zh-CN" w:bidi="ar"/>
              </w:rPr>
              <w:t>和团队成员）评分（2分）：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val="0"/>
                <w:bCs w:val="0"/>
                <w:i w:val="0"/>
                <w:iCs w:val="0"/>
                <w:color w:val="000000"/>
                <w:kern w:val="0"/>
                <w:sz w:val="20"/>
                <w:szCs w:val="20"/>
                <w:u w:val="none"/>
                <w:lang w:val="en-US" w:eastAsia="zh-CN" w:bidi="ar"/>
              </w:rPr>
              <w:t>1.团队负责人具有</w:t>
            </w:r>
            <w:r>
              <w:rPr>
                <w:rFonts w:hint="eastAsia" w:ascii="宋体" w:hAnsi="宋体" w:cs="宋体"/>
                <w:b w:val="0"/>
                <w:bCs w:val="0"/>
                <w:i w:val="0"/>
                <w:iCs w:val="0"/>
                <w:color w:val="000000"/>
                <w:kern w:val="0"/>
                <w:sz w:val="20"/>
                <w:szCs w:val="20"/>
                <w:u w:val="none"/>
                <w:lang w:val="en-US" w:eastAsia="zh-CN" w:bidi="ar"/>
              </w:rPr>
              <w:t>专科</w:t>
            </w:r>
            <w:r>
              <w:rPr>
                <w:rFonts w:hint="eastAsia" w:ascii="宋体" w:hAnsi="宋体" w:eastAsia="宋体" w:cs="宋体"/>
                <w:b w:val="0"/>
                <w:bCs w:val="0"/>
                <w:i w:val="0"/>
                <w:iCs w:val="0"/>
                <w:color w:val="000000"/>
                <w:kern w:val="0"/>
                <w:sz w:val="20"/>
                <w:szCs w:val="20"/>
                <w:u w:val="none"/>
                <w:lang w:val="en-US" w:eastAsia="zh-CN" w:bidi="ar"/>
              </w:rPr>
              <w:t xml:space="preserve">及以上学历得1分。                                                                                                         </w:t>
            </w:r>
          </w:p>
          <w:p w14:paraId="10BDAE2E">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2.团队负责人具备一个支付或结算系统开发类项目业绩</w:t>
            </w:r>
            <w:r>
              <w:rPr>
                <w:rFonts w:hint="eastAsia" w:ascii="宋体" w:hAnsi="宋体" w:cs="宋体"/>
                <w:b w:val="0"/>
                <w:bCs w:val="0"/>
                <w:i w:val="0"/>
                <w:iCs w:val="0"/>
                <w:color w:val="000000"/>
                <w:kern w:val="0"/>
                <w:sz w:val="20"/>
                <w:szCs w:val="20"/>
                <w:u w:val="none"/>
                <w:lang w:val="en-US" w:eastAsia="zh-CN" w:bidi="ar"/>
              </w:rPr>
              <w:t>3</w:t>
            </w:r>
            <w:r>
              <w:rPr>
                <w:rFonts w:hint="eastAsia" w:ascii="宋体" w:hAnsi="宋体" w:eastAsia="宋体" w:cs="宋体"/>
                <w:b w:val="0"/>
                <w:bCs w:val="0"/>
                <w:i w:val="0"/>
                <w:iCs w:val="0"/>
                <w:color w:val="000000"/>
                <w:kern w:val="0"/>
                <w:sz w:val="20"/>
                <w:szCs w:val="20"/>
                <w:u w:val="none"/>
                <w:lang w:val="en-US" w:eastAsia="zh-CN" w:bidi="ar"/>
              </w:rPr>
              <w:t>0万及以上得1分。</w:t>
            </w:r>
          </w:p>
          <w:p w14:paraId="28C46714">
            <w:pPr>
              <w:keepNext w:val="0"/>
              <w:keepLines w:val="0"/>
              <w:widowControl/>
              <w:suppressLineNumbers w:val="0"/>
              <w:jc w:val="left"/>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注：（1）须提供身份证及相关证书复印件、类似项目业绩证明材料、响应单位2025年1月1日以来任意连续3个月为其缴纳的社保证明和与其签订的劳动合同证明材料。未提供不得分。  </w:t>
            </w:r>
          </w:p>
          <w:p w14:paraId="6A72E47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0"/>
                <w:szCs w:val="20"/>
                <w:u w:val="none"/>
                <w:lang w:val="en-US" w:eastAsia="zh-CN" w:bidi="ar"/>
              </w:rPr>
              <w:t xml:space="preserve">    （2）类似项目业绩证明材料须提供业绩合同，合同中需体现项目经理姓名全称，若合同中无项目经理姓名则需其提供委托方的证明材料，否则不得分。</w:t>
            </w:r>
          </w:p>
        </w:tc>
        <w:tc>
          <w:tcPr>
            <w:tcW w:w="985" w:type="dxa"/>
            <w:tcBorders>
              <w:top w:val="single" w:color="auto" w:sz="4" w:space="0"/>
              <w:left w:val="nil"/>
              <w:bottom w:val="single" w:color="auto" w:sz="4" w:space="0"/>
              <w:right w:val="single" w:color="auto" w:sz="4" w:space="0"/>
            </w:tcBorders>
            <w:shd w:val="clear" w:color="auto" w:fill="auto"/>
            <w:vAlign w:val="center"/>
          </w:tcPr>
          <w:p w14:paraId="4DFF0AFE">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767528D8">
        <w:tblPrEx>
          <w:shd w:val="clear" w:color="auto" w:fill="auto"/>
          <w:tblCellMar>
            <w:top w:w="0" w:type="dxa"/>
            <w:left w:w="108" w:type="dxa"/>
            <w:bottom w:w="0" w:type="dxa"/>
            <w:right w:w="108" w:type="dxa"/>
          </w:tblCellMar>
        </w:tblPrEx>
        <w:trPr>
          <w:trHeight w:val="435"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6950B304">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12</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0E8474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团队成员</w:t>
            </w:r>
          </w:p>
        </w:tc>
        <w:tc>
          <w:tcPr>
            <w:tcW w:w="5661" w:type="dxa"/>
            <w:tcBorders>
              <w:top w:val="single" w:color="auto" w:sz="4" w:space="0"/>
              <w:left w:val="nil"/>
              <w:bottom w:val="single" w:color="auto" w:sz="4" w:space="0"/>
              <w:right w:val="single" w:color="auto" w:sz="4" w:space="0"/>
            </w:tcBorders>
            <w:shd w:val="clear" w:color="auto" w:fill="auto"/>
            <w:vAlign w:val="center"/>
          </w:tcPr>
          <w:p w14:paraId="093C8E2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团队成员（不含</w:t>
            </w:r>
            <w:r>
              <w:rPr>
                <w:rFonts w:hint="eastAsia" w:ascii="宋体" w:hAnsi="宋体" w:eastAsia="宋体" w:cs="宋体"/>
                <w:b/>
                <w:bCs/>
                <w:i w:val="0"/>
                <w:iCs w:val="0"/>
                <w:color w:val="000000"/>
                <w:kern w:val="0"/>
                <w:sz w:val="21"/>
                <w:szCs w:val="21"/>
                <w:u w:val="none"/>
                <w:lang w:val="en-US" w:eastAsia="zh-CN" w:bidi="ar"/>
              </w:rPr>
              <w:t>服务支撑人员</w:t>
            </w:r>
            <w:r>
              <w:rPr>
                <w:rFonts w:hint="eastAsia" w:ascii="宋体" w:hAnsi="宋体" w:eastAsia="宋体" w:cs="宋体"/>
                <w:b/>
                <w:bCs/>
                <w:i w:val="0"/>
                <w:iCs w:val="0"/>
                <w:color w:val="000000"/>
                <w:kern w:val="0"/>
                <w:sz w:val="20"/>
                <w:szCs w:val="20"/>
                <w:u w:val="none"/>
                <w:lang w:val="en-US" w:eastAsia="zh-CN" w:bidi="ar"/>
              </w:rPr>
              <w:t>和团队负责人）评分（2分）：</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1.针对本项目配备3名项目人员的得1分。</w:t>
            </w:r>
          </w:p>
          <w:p w14:paraId="0A90186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2.团队人员具备注册信息系统安全专家(CISSP)或信息系统项目管理师证书或网络工程师中级及以上职称的得1分。</w:t>
            </w:r>
          </w:p>
          <w:p w14:paraId="65B4DBA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注：须提供人员清单、身份证及相关证书复印件、响应单位2025年1月1日以来</w:t>
            </w:r>
            <w:r>
              <w:rPr>
                <w:rFonts w:hint="eastAsia" w:ascii="宋体" w:hAnsi="宋体" w:cs="宋体"/>
                <w:i w:val="0"/>
                <w:iCs w:val="0"/>
                <w:color w:val="000000"/>
                <w:kern w:val="0"/>
                <w:sz w:val="20"/>
                <w:szCs w:val="20"/>
                <w:u w:val="none"/>
                <w:lang w:val="en-US" w:eastAsia="zh-CN" w:bidi="ar"/>
              </w:rPr>
              <w:t>任意</w:t>
            </w:r>
            <w:r>
              <w:rPr>
                <w:rFonts w:hint="eastAsia" w:ascii="宋体" w:hAnsi="宋体" w:eastAsia="宋体" w:cs="宋体"/>
                <w:i w:val="0"/>
                <w:iCs w:val="0"/>
                <w:color w:val="000000"/>
                <w:kern w:val="0"/>
                <w:sz w:val="20"/>
                <w:szCs w:val="20"/>
                <w:u w:val="none"/>
                <w:lang w:val="en-US" w:eastAsia="zh-CN" w:bidi="ar"/>
              </w:rPr>
              <w:t>连续3个月为其缴纳的社保证明或与其签订的劳动合同证明材料。未提供不得分。</w:t>
            </w:r>
          </w:p>
        </w:tc>
        <w:tc>
          <w:tcPr>
            <w:tcW w:w="985" w:type="dxa"/>
            <w:tcBorders>
              <w:top w:val="single" w:color="auto" w:sz="4" w:space="0"/>
              <w:left w:val="nil"/>
              <w:bottom w:val="single" w:color="auto" w:sz="4" w:space="0"/>
              <w:right w:val="single" w:color="auto" w:sz="4" w:space="0"/>
            </w:tcBorders>
            <w:shd w:val="clear" w:color="auto" w:fill="auto"/>
            <w:vAlign w:val="center"/>
          </w:tcPr>
          <w:p w14:paraId="5531C0EC">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555FA64A">
        <w:tblPrEx>
          <w:tblCellMar>
            <w:top w:w="0" w:type="dxa"/>
            <w:left w:w="108" w:type="dxa"/>
            <w:bottom w:w="0" w:type="dxa"/>
            <w:right w:w="108" w:type="dxa"/>
          </w:tblCellMar>
        </w:tblPrEx>
        <w:trPr>
          <w:trHeight w:val="1482" w:hRule="atLeast"/>
          <w:jc w:val="center"/>
        </w:trPr>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252F6A0A">
            <w:pPr>
              <w:widowControl/>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13</w:t>
            </w:r>
          </w:p>
        </w:tc>
        <w:tc>
          <w:tcPr>
            <w:tcW w:w="1280" w:type="dxa"/>
            <w:tcBorders>
              <w:top w:val="single" w:color="auto" w:sz="4" w:space="0"/>
              <w:left w:val="single" w:color="auto" w:sz="4" w:space="0"/>
              <w:bottom w:val="single" w:color="auto" w:sz="4" w:space="0"/>
              <w:right w:val="single" w:color="auto" w:sz="4" w:space="0"/>
            </w:tcBorders>
            <w:shd w:val="clear" w:color="auto" w:fill="auto"/>
            <w:vAlign w:val="center"/>
          </w:tcPr>
          <w:p w14:paraId="4CFB3D5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著作权证书</w:t>
            </w:r>
          </w:p>
        </w:tc>
        <w:tc>
          <w:tcPr>
            <w:tcW w:w="5661" w:type="dxa"/>
            <w:tcBorders>
              <w:top w:val="single" w:color="auto" w:sz="4" w:space="0"/>
              <w:left w:val="nil"/>
              <w:bottom w:val="single" w:color="auto" w:sz="4" w:space="0"/>
              <w:right w:val="single" w:color="auto" w:sz="4" w:space="0"/>
            </w:tcBorders>
            <w:shd w:val="clear" w:color="auto" w:fill="auto"/>
            <w:vAlign w:val="center"/>
          </w:tcPr>
          <w:p w14:paraId="5C066C3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著作权证书评分（2分）：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根据供应商提供的专利或软件著作权进行评分，所提供的专利或著作权必须与项目相关，每提供一项有效的专利或著作权得1分，最高不超过2分。</w:t>
            </w:r>
          </w:p>
          <w:p w14:paraId="042A1BA5">
            <w:pPr>
              <w:keepNext w:val="0"/>
              <w:keepLines w:val="0"/>
              <w:widowControl/>
              <w:suppressLineNumbers w:val="0"/>
              <w:jc w:val="left"/>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注：需提供相关证书扫描件，证书需在有效期内，否则不得分。</w:t>
            </w:r>
          </w:p>
        </w:tc>
        <w:tc>
          <w:tcPr>
            <w:tcW w:w="985" w:type="dxa"/>
            <w:tcBorders>
              <w:top w:val="single" w:color="auto" w:sz="4" w:space="0"/>
              <w:left w:val="nil"/>
              <w:bottom w:val="single" w:color="auto" w:sz="4" w:space="0"/>
              <w:right w:val="single" w:color="auto" w:sz="4" w:space="0"/>
            </w:tcBorders>
            <w:shd w:val="clear" w:color="auto" w:fill="auto"/>
            <w:vAlign w:val="center"/>
          </w:tcPr>
          <w:p w14:paraId="1EDAA576">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w:t>
            </w:r>
          </w:p>
        </w:tc>
      </w:tr>
      <w:tr w14:paraId="42ED39AA">
        <w:tblPrEx>
          <w:tblCellMar>
            <w:top w:w="0" w:type="dxa"/>
            <w:left w:w="108" w:type="dxa"/>
            <w:bottom w:w="0" w:type="dxa"/>
            <w:right w:w="108" w:type="dxa"/>
          </w:tblCellMar>
        </w:tblPrEx>
        <w:trPr>
          <w:trHeight w:val="502" w:hRule="atLeast"/>
          <w:jc w:val="center"/>
        </w:trPr>
        <w:tc>
          <w:tcPr>
            <w:tcW w:w="828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32AE2A0">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985" w:type="dxa"/>
            <w:tcBorders>
              <w:top w:val="single" w:color="auto" w:sz="4" w:space="0"/>
              <w:left w:val="nil"/>
              <w:bottom w:val="single" w:color="auto" w:sz="4" w:space="0"/>
              <w:right w:val="single" w:color="auto" w:sz="4" w:space="0"/>
            </w:tcBorders>
            <w:shd w:val="clear" w:color="auto" w:fill="auto"/>
            <w:vAlign w:val="center"/>
          </w:tcPr>
          <w:p w14:paraId="54FE02EF">
            <w:pPr>
              <w:widowControl/>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50</w:t>
            </w:r>
          </w:p>
        </w:tc>
      </w:tr>
    </w:tbl>
    <w:p w14:paraId="4C1B0A0B">
      <w:pPr>
        <w:widowControl/>
        <w:jc w:val="left"/>
        <w:rPr>
          <w:rFonts w:asciiTheme="minorEastAsia" w:hAnsiTheme="minorEastAsia" w:eastAsiaTheme="minorEastAsia"/>
          <w:b/>
          <w:bCs/>
          <w:sz w:val="28"/>
          <w:szCs w:val="28"/>
          <w:highlight w:val="none"/>
        </w:rPr>
      </w:pPr>
      <w:bookmarkStart w:id="1332" w:name="_Toc450489345"/>
      <w:r>
        <w:rPr>
          <w:rFonts w:asciiTheme="minorEastAsia" w:hAnsiTheme="minorEastAsia" w:eastAsiaTheme="minorEastAsia"/>
          <w:sz w:val="28"/>
          <w:szCs w:val="28"/>
          <w:highlight w:val="none"/>
        </w:rPr>
        <w:br w:type="page"/>
      </w:r>
    </w:p>
    <w:p w14:paraId="77395F50">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asciiTheme="minorEastAsia" w:hAnsiTheme="minorEastAsia" w:eastAsiaTheme="minorEastAsia"/>
          <w:sz w:val="28"/>
          <w:szCs w:val="28"/>
          <w:highlight w:val="none"/>
        </w:rPr>
      </w:pPr>
      <w:bookmarkStart w:id="1333" w:name="_Toc28984"/>
      <w:bookmarkStart w:id="1334" w:name="_Toc30197"/>
      <w:bookmarkStart w:id="1335" w:name="_Toc28487"/>
      <w:bookmarkStart w:id="1336" w:name="_Toc20701"/>
      <w:bookmarkStart w:id="1337" w:name="_Toc11773"/>
      <w:bookmarkStart w:id="1338" w:name="_Toc5213"/>
      <w:bookmarkStart w:id="1339" w:name="_Toc13573"/>
      <w:bookmarkStart w:id="1340" w:name="_Toc27759"/>
      <w:bookmarkStart w:id="1341" w:name="_Toc25994"/>
      <w:bookmarkStart w:id="1342" w:name="_Toc12535"/>
      <w:bookmarkStart w:id="1343" w:name="_Toc27412"/>
      <w:bookmarkStart w:id="1344" w:name="_Toc9397"/>
      <w:bookmarkStart w:id="1345" w:name="_Toc32269"/>
      <w:bookmarkStart w:id="1346" w:name="_Toc3901"/>
      <w:bookmarkStart w:id="1347" w:name="_Toc8546"/>
      <w:bookmarkStart w:id="1348" w:name="_Toc11335"/>
      <w:r>
        <w:rPr>
          <w:rFonts w:hint="default" w:cs="Times New Roman" w:asciiTheme="minorEastAsia" w:hAnsiTheme="minorEastAsia" w:eastAsiaTheme="minorEastAsia"/>
          <w:b/>
          <w:bCs/>
          <w:kern w:val="2"/>
          <w:sz w:val="28"/>
          <w:szCs w:val="28"/>
          <w:lang w:val="en-US" w:eastAsia="zh-CN" w:bidi="ar-SA"/>
        </w:rPr>
        <w:t>1.</w:t>
      </w:r>
      <w:r>
        <w:rPr>
          <w:rFonts w:hint="eastAsia" w:asciiTheme="minorEastAsia" w:hAnsiTheme="minorEastAsia" w:eastAsiaTheme="minorEastAsia"/>
          <w:sz w:val="28"/>
          <w:szCs w:val="28"/>
          <w:highlight w:val="none"/>
          <w:lang w:eastAsia="zh-CN"/>
        </w:rPr>
        <w:t>评审</w:t>
      </w:r>
      <w:r>
        <w:rPr>
          <w:rFonts w:hint="eastAsia" w:asciiTheme="minorEastAsia" w:hAnsiTheme="minorEastAsia" w:eastAsiaTheme="minorEastAsia"/>
          <w:sz w:val="28"/>
          <w:szCs w:val="28"/>
          <w:highlight w:val="none"/>
        </w:rPr>
        <w:t>方法</w:t>
      </w:r>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p>
    <w:p w14:paraId="3B78E757">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本</w:t>
      </w:r>
      <w:r>
        <w:rPr>
          <w:rFonts w:hint="eastAsia" w:cs="宋体" w:asciiTheme="minorEastAsia" w:hAnsiTheme="minorEastAsia" w:eastAsiaTheme="minorEastAsia"/>
          <w:szCs w:val="21"/>
          <w:highlight w:val="none"/>
          <w:lang w:eastAsia="zh-CN"/>
        </w:rPr>
        <w:t>询比项目评审</w:t>
      </w:r>
      <w:r>
        <w:rPr>
          <w:rFonts w:hint="eastAsia" w:cs="宋体" w:asciiTheme="minorEastAsia" w:hAnsiTheme="minorEastAsia" w:eastAsiaTheme="minorEastAsia"/>
          <w:szCs w:val="21"/>
          <w:highlight w:val="none"/>
        </w:rPr>
        <w:t>采用综合评估法。</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委员会对满足</w:t>
      </w:r>
      <w:r>
        <w:rPr>
          <w:rFonts w:hint="eastAsia" w:cs="宋体" w:asciiTheme="minorEastAsia" w:hAnsiTheme="minorEastAsia" w:eastAsiaTheme="minorEastAsia"/>
          <w:szCs w:val="21"/>
          <w:highlight w:val="none"/>
          <w:lang w:eastAsia="zh-CN"/>
        </w:rPr>
        <w:t>询比文件</w:t>
      </w:r>
      <w:r>
        <w:rPr>
          <w:rFonts w:hint="eastAsia" w:cs="宋体" w:asciiTheme="minorEastAsia" w:hAnsiTheme="minorEastAsia" w:eastAsiaTheme="minorEastAsia"/>
          <w:szCs w:val="21"/>
          <w:highlight w:val="none"/>
        </w:rPr>
        <w:t>实质要求的</w:t>
      </w:r>
      <w:r>
        <w:rPr>
          <w:rFonts w:hint="eastAsia" w:cs="宋体" w:asciiTheme="minorEastAsia" w:hAnsiTheme="minorEastAsia" w:eastAsiaTheme="minorEastAsia"/>
          <w:szCs w:val="21"/>
          <w:highlight w:val="none"/>
          <w:lang w:eastAsia="zh-CN"/>
        </w:rPr>
        <w:t>响应文件</w:t>
      </w:r>
      <w:r>
        <w:rPr>
          <w:rFonts w:hint="eastAsia" w:cs="宋体" w:asciiTheme="minorEastAsia" w:hAnsiTheme="minorEastAsia" w:eastAsiaTheme="minorEastAsia"/>
          <w:szCs w:val="21"/>
          <w:highlight w:val="none"/>
        </w:rPr>
        <w:t>，根据本章第2.2款规定的评分因素和评分标准进行评分，按照综合评分由高到低的顺序推荐</w:t>
      </w:r>
      <w:r>
        <w:rPr>
          <w:rFonts w:hint="eastAsia" w:cs="宋体" w:asciiTheme="minorEastAsia" w:hAnsiTheme="minorEastAsia" w:eastAsiaTheme="minorEastAsia"/>
          <w:szCs w:val="21"/>
          <w:highlight w:val="none"/>
          <w:lang w:eastAsia="zh-CN"/>
        </w:rPr>
        <w:t>成交候选人</w:t>
      </w:r>
      <w:r>
        <w:rPr>
          <w:rFonts w:hint="eastAsia" w:cs="宋体" w:asciiTheme="minorEastAsia" w:hAnsiTheme="minorEastAsia" w:eastAsiaTheme="minorEastAsia"/>
          <w:szCs w:val="21"/>
          <w:highlight w:val="none"/>
        </w:rPr>
        <w:t>，但</w:t>
      </w:r>
      <w:r>
        <w:rPr>
          <w:rFonts w:hint="eastAsia" w:cs="宋体" w:asciiTheme="minorEastAsia" w:hAnsiTheme="minorEastAsia" w:eastAsiaTheme="minorEastAsia"/>
          <w:szCs w:val="21"/>
          <w:highlight w:val="none"/>
          <w:lang w:eastAsia="zh-CN"/>
        </w:rPr>
        <w:t>响应报价</w:t>
      </w:r>
      <w:r>
        <w:rPr>
          <w:rFonts w:hint="eastAsia" w:cs="宋体" w:asciiTheme="minorEastAsia" w:hAnsiTheme="minorEastAsia" w:eastAsiaTheme="minorEastAsia"/>
          <w:szCs w:val="21"/>
          <w:highlight w:val="none"/>
        </w:rPr>
        <w:t>低于其成本的除外。</w:t>
      </w:r>
    </w:p>
    <w:p w14:paraId="3701DD1D">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hint="eastAsia" w:asciiTheme="minorEastAsia" w:hAnsiTheme="minorEastAsia" w:eastAsiaTheme="minorEastAsia"/>
          <w:sz w:val="28"/>
          <w:szCs w:val="28"/>
          <w:highlight w:val="none"/>
        </w:rPr>
      </w:pPr>
      <w:bookmarkStart w:id="1349" w:name="_Toc13644"/>
      <w:bookmarkStart w:id="1350" w:name="_Toc450489346"/>
      <w:bookmarkStart w:id="1351" w:name="_Toc20133"/>
      <w:bookmarkStart w:id="1352" w:name="_Toc19762"/>
      <w:bookmarkStart w:id="1353" w:name="_Toc657"/>
      <w:bookmarkStart w:id="1354" w:name="_Toc5586"/>
      <w:bookmarkStart w:id="1355" w:name="_Toc25116"/>
      <w:bookmarkStart w:id="1356" w:name="_Toc19188"/>
      <w:bookmarkStart w:id="1357" w:name="_Toc14175"/>
      <w:bookmarkStart w:id="1358" w:name="_Toc10626"/>
      <w:bookmarkStart w:id="1359" w:name="_Toc27575"/>
      <w:bookmarkStart w:id="1360" w:name="_Toc23790"/>
      <w:bookmarkStart w:id="1361" w:name="_Toc27753"/>
      <w:bookmarkStart w:id="1362" w:name="_Toc20443"/>
      <w:bookmarkStart w:id="1363" w:name="_Toc516"/>
      <w:bookmarkStart w:id="1364" w:name="_Toc22071"/>
      <w:bookmarkStart w:id="1365" w:name="_Toc25530"/>
      <w:r>
        <w:rPr>
          <w:rFonts w:hint="default" w:cs="Times New Roman" w:asciiTheme="minorEastAsia" w:hAnsiTheme="minorEastAsia" w:eastAsiaTheme="minorEastAsia"/>
          <w:b/>
          <w:bCs/>
          <w:kern w:val="2"/>
          <w:sz w:val="28"/>
          <w:szCs w:val="28"/>
          <w:lang w:val="en-US" w:eastAsia="zh-CN" w:bidi="ar-SA"/>
        </w:rPr>
        <w:t>2.</w:t>
      </w:r>
      <w:r>
        <w:rPr>
          <w:rFonts w:hint="eastAsia" w:asciiTheme="minorEastAsia" w:hAnsiTheme="minorEastAsia" w:eastAsiaTheme="minorEastAsia"/>
          <w:sz w:val="28"/>
          <w:szCs w:val="28"/>
          <w:highlight w:val="none"/>
        </w:rPr>
        <w:t>评审标准</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p>
    <w:p w14:paraId="718AB094">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asciiTheme="minorEastAsia" w:hAnsiTheme="minorEastAsia" w:eastAsiaTheme="minorEastAsia"/>
          <w:sz w:val="24"/>
          <w:szCs w:val="24"/>
          <w:highlight w:val="none"/>
        </w:rPr>
      </w:pPr>
      <w:bookmarkStart w:id="1366" w:name="_Toc870"/>
      <w:bookmarkStart w:id="1367" w:name="_Toc5316"/>
      <w:bookmarkStart w:id="1368" w:name="_Toc29185"/>
      <w:bookmarkStart w:id="1369" w:name="_Toc32498"/>
      <w:bookmarkStart w:id="1370" w:name="_Toc450489347"/>
      <w:bookmarkStart w:id="1371" w:name="_Toc17280"/>
      <w:bookmarkStart w:id="1372" w:name="_Toc30268"/>
      <w:bookmarkStart w:id="1373" w:name="_Toc10830"/>
      <w:bookmarkStart w:id="1374" w:name="_Toc30974"/>
      <w:bookmarkStart w:id="1375" w:name="_Toc23225"/>
      <w:bookmarkStart w:id="1376" w:name="_Toc20618"/>
      <w:bookmarkStart w:id="1377" w:name="_Toc15797"/>
      <w:bookmarkStart w:id="1378" w:name="_Toc7934"/>
      <w:bookmarkStart w:id="1379" w:name="_Toc7127"/>
      <w:bookmarkStart w:id="1380" w:name="_Toc31932"/>
      <w:bookmarkStart w:id="1381" w:name="_Toc21176"/>
      <w:bookmarkStart w:id="1382" w:name="_Toc18624"/>
      <w:r>
        <w:rPr>
          <w:rFonts w:hint="eastAsia" w:asciiTheme="minorEastAsia" w:hAnsiTheme="minorEastAsia" w:eastAsiaTheme="minorEastAsia"/>
          <w:sz w:val="24"/>
          <w:szCs w:val="24"/>
          <w:highlight w:val="none"/>
        </w:rPr>
        <w:t>2.1初步评审标准</w:t>
      </w:r>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p>
    <w:p w14:paraId="36440FFC">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初步评审标准：见</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办法前附表。</w:t>
      </w:r>
    </w:p>
    <w:p w14:paraId="16E3C766">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383" w:name="_Toc27402"/>
      <w:bookmarkStart w:id="1384" w:name="_Toc15296"/>
      <w:bookmarkStart w:id="1385" w:name="_Toc27988"/>
      <w:bookmarkStart w:id="1386" w:name="_Toc18068"/>
      <w:bookmarkStart w:id="1387" w:name="_Toc12970"/>
      <w:bookmarkStart w:id="1388" w:name="_Toc21238"/>
      <w:bookmarkStart w:id="1389" w:name="_Toc10161"/>
      <w:bookmarkStart w:id="1390" w:name="_Toc23693"/>
      <w:bookmarkStart w:id="1391" w:name="_Toc25204"/>
      <w:bookmarkStart w:id="1392" w:name="_Toc450489348"/>
      <w:bookmarkStart w:id="1393" w:name="_Toc29247"/>
      <w:bookmarkStart w:id="1394" w:name="_Toc26187"/>
      <w:bookmarkStart w:id="1395" w:name="_Toc6020"/>
      <w:bookmarkStart w:id="1396" w:name="_Toc28567"/>
      <w:bookmarkStart w:id="1397" w:name="_Toc17800"/>
      <w:bookmarkStart w:id="1398" w:name="_Toc18886"/>
      <w:bookmarkStart w:id="1399" w:name="_Toc31946"/>
      <w:r>
        <w:rPr>
          <w:rFonts w:hint="eastAsia" w:asciiTheme="minorEastAsia" w:hAnsiTheme="minorEastAsia" w:eastAsiaTheme="minorEastAsia"/>
          <w:sz w:val="24"/>
          <w:szCs w:val="24"/>
          <w:highlight w:val="none"/>
        </w:rPr>
        <w:t>2.2详细评审标准</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p>
    <w:p w14:paraId="30198FB8">
      <w:pPr>
        <w:adjustRightInd w:val="0"/>
        <w:snapToGrid w:val="0"/>
        <w:spacing w:line="440" w:lineRule="exact"/>
        <w:ind w:firstLine="420" w:firstLineChars="200"/>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详细评审标准：见</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办法前附表。</w:t>
      </w:r>
    </w:p>
    <w:p w14:paraId="358B8EA8">
      <w:pPr>
        <w:pStyle w:val="36"/>
        <w:keepNext w:val="0"/>
        <w:keepLines w:val="0"/>
        <w:pageBreakBefore w:val="0"/>
        <w:widowControl w:val="0"/>
        <w:numPr>
          <w:ilvl w:val="0"/>
          <w:numId w:val="0"/>
        </w:numPr>
        <w:kinsoku/>
        <w:wordWrap/>
        <w:overflowPunct/>
        <w:topLinePunct w:val="0"/>
        <w:autoSpaceDE/>
        <w:autoSpaceDN/>
        <w:bidi w:val="0"/>
        <w:adjustRightInd/>
        <w:snapToGrid w:val="0"/>
        <w:spacing w:before="120" w:after="120" w:line="440" w:lineRule="exact"/>
        <w:ind w:left="0" w:leftChars="0" w:firstLine="0" w:firstLineChars="0"/>
        <w:jc w:val="left"/>
        <w:textAlignment w:val="auto"/>
        <w:outlineLvl w:val="1"/>
        <w:rPr>
          <w:rFonts w:hint="eastAsia" w:asciiTheme="minorEastAsia" w:hAnsiTheme="minorEastAsia" w:eastAsiaTheme="minorEastAsia"/>
          <w:sz w:val="28"/>
          <w:szCs w:val="28"/>
          <w:highlight w:val="none"/>
        </w:rPr>
      </w:pPr>
      <w:bookmarkStart w:id="1400" w:name="_Toc16620"/>
      <w:bookmarkStart w:id="1401" w:name="_Toc25736"/>
      <w:bookmarkStart w:id="1402" w:name="_Toc5642"/>
      <w:bookmarkStart w:id="1403" w:name="_Toc18495"/>
      <w:bookmarkStart w:id="1404" w:name="_Toc2022"/>
      <w:bookmarkStart w:id="1405" w:name="_Toc28847"/>
      <w:bookmarkStart w:id="1406" w:name="_Toc29602"/>
      <w:bookmarkStart w:id="1407" w:name="_Toc14247"/>
      <w:bookmarkStart w:id="1408" w:name="_Toc450489349"/>
      <w:bookmarkStart w:id="1409" w:name="_Toc31866"/>
      <w:bookmarkStart w:id="1410" w:name="_Toc25793"/>
      <w:bookmarkStart w:id="1411" w:name="_Toc16177"/>
      <w:bookmarkStart w:id="1412" w:name="_Toc25949"/>
      <w:bookmarkStart w:id="1413" w:name="_Toc5068"/>
      <w:bookmarkStart w:id="1414" w:name="_Toc9594"/>
      <w:bookmarkStart w:id="1415" w:name="_Toc210"/>
      <w:bookmarkStart w:id="1416" w:name="_Toc27020"/>
      <w:r>
        <w:rPr>
          <w:rFonts w:hint="default" w:cs="Times New Roman" w:asciiTheme="minorEastAsia" w:hAnsiTheme="minorEastAsia" w:eastAsiaTheme="minorEastAsia"/>
          <w:b/>
          <w:bCs/>
          <w:kern w:val="2"/>
          <w:sz w:val="28"/>
          <w:szCs w:val="28"/>
          <w:lang w:val="en-US" w:eastAsia="zh-CN" w:bidi="ar-SA"/>
        </w:rPr>
        <w:t>3.</w:t>
      </w:r>
      <w:r>
        <w:rPr>
          <w:rFonts w:hint="eastAsia" w:asciiTheme="minorEastAsia" w:hAnsiTheme="minorEastAsia" w:eastAsiaTheme="minorEastAsia"/>
          <w:sz w:val="28"/>
          <w:szCs w:val="28"/>
          <w:highlight w:val="none"/>
          <w:lang w:eastAsia="zh-CN"/>
        </w:rPr>
        <w:t>评审</w:t>
      </w:r>
      <w:r>
        <w:rPr>
          <w:rFonts w:hint="eastAsia" w:asciiTheme="minorEastAsia" w:hAnsiTheme="minorEastAsia" w:eastAsiaTheme="minorEastAsia"/>
          <w:sz w:val="28"/>
          <w:szCs w:val="28"/>
          <w:highlight w:val="none"/>
        </w:rPr>
        <w:t>程序</w:t>
      </w:r>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p>
    <w:p w14:paraId="64B9D16F">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417" w:name="_Toc2689"/>
      <w:bookmarkStart w:id="1418" w:name="_Toc3408"/>
      <w:bookmarkStart w:id="1419" w:name="_Toc450489350"/>
      <w:bookmarkStart w:id="1420" w:name="_Toc16497"/>
      <w:bookmarkStart w:id="1421" w:name="_Toc18619"/>
      <w:bookmarkStart w:id="1422" w:name="_Toc8908"/>
      <w:bookmarkStart w:id="1423" w:name="_Toc10711"/>
      <w:bookmarkStart w:id="1424" w:name="_Toc29586"/>
      <w:bookmarkStart w:id="1425" w:name="_Toc17536"/>
      <w:bookmarkStart w:id="1426" w:name="_Toc6557"/>
      <w:bookmarkStart w:id="1427" w:name="_Toc27848"/>
      <w:bookmarkStart w:id="1428" w:name="_Toc14725"/>
      <w:bookmarkStart w:id="1429" w:name="_Toc24261"/>
      <w:bookmarkStart w:id="1430" w:name="_Toc12626"/>
      <w:bookmarkStart w:id="1431" w:name="_Toc31679"/>
      <w:bookmarkStart w:id="1432" w:name="_Toc29464"/>
      <w:bookmarkStart w:id="1433" w:name="_Toc29309"/>
      <w:r>
        <w:rPr>
          <w:rFonts w:hint="eastAsia" w:asciiTheme="minorEastAsia" w:hAnsiTheme="minorEastAsia" w:eastAsiaTheme="minorEastAsia"/>
          <w:sz w:val="24"/>
          <w:szCs w:val="24"/>
          <w:highlight w:val="none"/>
        </w:rPr>
        <w:t>3.1初步评审</w:t>
      </w:r>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p>
    <w:p w14:paraId="7AD9EE9C">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委员会根据本章第2.1款规定的标准对</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进行初步评审。有一项不符合评审标准的，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68EDEF8F">
      <w:pPr>
        <w:pStyle w:val="21"/>
        <w:tabs>
          <w:tab w:val="left" w:pos="630"/>
        </w:tabs>
        <w:snapToGrid w:val="0"/>
        <w:spacing w:line="440" w:lineRule="exact"/>
        <w:ind w:firstLine="424" w:firstLineChars="202"/>
        <w:rPr>
          <w:rFonts w:hint="eastAsia" w:asciiTheme="minorEastAsia" w:hAnsiTheme="minorEastAsia" w:eastAsiaTheme="minorEastAsia"/>
          <w:highlight w:val="none"/>
        </w:rPr>
      </w:pPr>
      <w:r>
        <w:rPr>
          <w:rFonts w:hint="eastAsia" w:asciiTheme="minorEastAsia" w:hAnsiTheme="minorEastAsia" w:eastAsiaTheme="minorEastAsia"/>
          <w:highlight w:val="none"/>
        </w:rPr>
        <w:t>3.1.2</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有以下情形之一的，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33B4422A">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lang w:eastAsia="zh-CN"/>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lang w:eastAsia="zh-CN"/>
        </w:rPr>
        <w:t>）第二章“</w:t>
      </w: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lang w:eastAsia="zh-CN"/>
        </w:rPr>
        <w:t>须知”第1.8款规定的任何一种情形的；</w:t>
      </w:r>
    </w:p>
    <w:p w14:paraId="6D853A0E">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2）</w:t>
      </w:r>
      <w:r>
        <w:rPr>
          <w:rFonts w:hint="eastAsia" w:asciiTheme="minorEastAsia" w:hAnsiTheme="minorEastAsia" w:eastAsiaTheme="minorEastAsia"/>
          <w:szCs w:val="21"/>
          <w:highlight w:val="none"/>
        </w:rPr>
        <w:t>响应文件未按照询比文件要求盖章和签字的；</w:t>
      </w:r>
    </w:p>
    <w:p w14:paraId="44383C3F">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没有按照询比文件要求提供响应担保或者所提供的响应担保有瑕疵的；</w:t>
      </w:r>
    </w:p>
    <w:p w14:paraId="7704F33E">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4</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响应供应商提交两份以上不同内容的响应文件，或在一份响应文件中有两个或多个报价，且未声明哪一个为最终报价的，但按询比文件规定提交备选响应方案的除外；</w:t>
      </w:r>
    </w:p>
    <w:p w14:paraId="30B37B12">
      <w:pPr>
        <w:pStyle w:val="21"/>
        <w:tabs>
          <w:tab w:val="left" w:pos="630"/>
        </w:tabs>
        <w:snapToGrid w:val="0"/>
        <w:spacing w:line="440" w:lineRule="exact"/>
        <w:ind w:firstLine="424" w:firstLineChars="202"/>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5）允许联合体响应的，联合体没有提交共同响应协议；</w:t>
      </w:r>
    </w:p>
    <w:p w14:paraId="646E4407">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响应供应商名称或组织结构与资格预审时不一致且未提供有效证明的；</w:t>
      </w:r>
    </w:p>
    <w:p w14:paraId="41332506">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响应供应商以他人名义响应或者响应供应商经资格审查不符合资格条件的；</w:t>
      </w:r>
    </w:p>
    <w:p w14:paraId="0DCBD8F2">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8</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响应有效期不满足询比文件要求</w:t>
      </w:r>
      <w:r>
        <w:rPr>
          <w:rFonts w:hint="eastAsia" w:asciiTheme="minorEastAsia" w:hAnsiTheme="minorEastAsia" w:eastAsiaTheme="minorEastAsia"/>
          <w:szCs w:val="21"/>
          <w:highlight w:val="none"/>
          <w:lang w:val="en-US" w:eastAsia="zh-CN"/>
        </w:rPr>
        <w:t>或响应文件载明的询比项目完成期限超过询比文件规定的期限</w:t>
      </w:r>
      <w:r>
        <w:rPr>
          <w:rFonts w:hint="eastAsia" w:asciiTheme="minorEastAsia" w:hAnsiTheme="minorEastAsia" w:eastAsiaTheme="minorEastAsia"/>
          <w:szCs w:val="21"/>
          <w:highlight w:val="none"/>
        </w:rPr>
        <w:t>的；</w:t>
      </w:r>
    </w:p>
    <w:p w14:paraId="29B16287">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9</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响应供应商报价低于成本价或严重影响履约，且供应商不能按评审委员会要求对其报价进行合理说明或提供相关证明材料的；</w:t>
      </w:r>
    </w:p>
    <w:p w14:paraId="3BB0ACBF">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10</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响应供应商报价高于询比文件设定的</w:t>
      </w:r>
      <w:r>
        <w:rPr>
          <w:rFonts w:hint="eastAsia" w:asciiTheme="minorEastAsia" w:hAnsiTheme="minorEastAsia" w:eastAsiaTheme="minorEastAsia"/>
          <w:szCs w:val="21"/>
          <w:highlight w:val="none"/>
          <w:lang w:eastAsia="zh-CN"/>
        </w:rPr>
        <w:t>最高响应限价</w:t>
      </w:r>
      <w:r>
        <w:rPr>
          <w:rFonts w:hint="eastAsia" w:asciiTheme="minorEastAsia" w:hAnsiTheme="minorEastAsia" w:eastAsiaTheme="minorEastAsia"/>
          <w:szCs w:val="21"/>
          <w:highlight w:val="none"/>
        </w:rPr>
        <w:t>的；</w:t>
      </w:r>
    </w:p>
    <w:p w14:paraId="37AF3391">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11）</w:t>
      </w:r>
      <w:r>
        <w:rPr>
          <w:rFonts w:hint="eastAsia" w:asciiTheme="minorEastAsia" w:hAnsiTheme="minorEastAsia" w:eastAsiaTheme="minorEastAsia"/>
          <w:szCs w:val="21"/>
          <w:highlight w:val="none"/>
        </w:rPr>
        <w:t>明显不符合技术规格、技术标准的要求；</w:t>
      </w:r>
    </w:p>
    <w:p w14:paraId="6AB103FF">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（12）响应</w:t>
      </w:r>
      <w:r>
        <w:rPr>
          <w:rFonts w:hint="eastAsia" w:asciiTheme="minorEastAsia" w:hAnsiTheme="minorEastAsia" w:eastAsiaTheme="minorEastAsia"/>
          <w:szCs w:val="21"/>
          <w:highlight w:val="none"/>
        </w:rPr>
        <w:t>文件载明的货物包装方式、检验标准和方法等不符合</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文件的要求；</w:t>
      </w:r>
    </w:p>
    <w:p w14:paraId="46E002F6">
      <w:pPr>
        <w:pStyle w:val="21"/>
        <w:tabs>
          <w:tab w:val="left" w:pos="630"/>
        </w:tabs>
        <w:snapToGrid w:val="0"/>
        <w:spacing w:line="440" w:lineRule="exact"/>
        <w:ind w:firstLine="424" w:firstLineChars="202"/>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（13）响应文件附有采购人不能接受的条件；</w:t>
      </w:r>
    </w:p>
    <w:p w14:paraId="4C083703">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14</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响应文件未能对询比文件中提出的实质性要求和条件做出实质性响应的；</w:t>
      </w:r>
    </w:p>
    <w:p w14:paraId="6E386E01">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15</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响应供应商有串通响应、弄虚作假、行贿等违法行为的；</w:t>
      </w:r>
    </w:p>
    <w:p w14:paraId="38D29B97">
      <w:pPr>
        <w:pStyle w:val="21"/>
        <w:tabs>
          <w:tab w:val="left" w:pos="630"/>
        </w:tabs>
        <w:snapToGrid w:val="0"/>
        <w:spacing w:line="440" w:lineRule="exact"/>
        <w:ind w:firstLine="424" w:firstLineChars="202"/>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16</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响应供应商拒不按照要求对响应文件进行澄清、说明或者补正的；</w:t>
      </w:r>
    </w:p>
    <w:p w14:paraId="7A844B6B">
      <w:pPr>
        <w:pStyle w:val="21"/>
        <w:tabs>
          <w:tab w:val="left" w:pos="630"/>
        </w:tabs>
        <w:snapToGrid w:val="0"/>
        <w:spacing w:line="440" w:lineRule="exact"/>
        <w:ind w:firstLine="424" w:firstLineChars="202"/>
        <w:rPr>
          <w:rFonts w:hint="eastAsia" w:asciiTheme="minorEastAsia" w:hAnsiTheme="minorEastAsia" w:eastAsiaTheme="minorEastAsia"/>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17）</w:t>
      </w:r>
      <w:r>
        <w:rPr>
          <w:rFonts w:hint="eastAsia" w:asciiTheme="minorEastAsia" w:hAnsiTheme="minorEastAsia" w:eastAsiaTheme="minorEastAsia"/>
          <w:szCs w:val="21"/>
          <w:highlight w:val="none"/>
        </w:rPr>
        <w:t>询比文件明确规定可以否决响应的其他情形。</w:t>
      </w:r>
    </w:p>
    <w:p w14:paraId="573BEB2A">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3.1.3</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过程中，</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委员会收到低于成本价</w:t>
      </w:r>
      <w:r>
        <w:rPr>
          <w:rFonts w:hint="eastAsia" w:asciiTheme="minorEastAsia" w:hAnsiTheme="minorEastAsia" w:eastAsiaTheme="minorEastAsia"/>
          <w:highlight w:val="none"/>
          <w:lang w:eastAsia="zh-CN"/>
        </w:rPr>
        <w:t>响应</w:t>
      </w:r>
      <w:r>
        <w:rPr>
          <w:rFonts w:hint="eastAsia" w:asciiTheme="minorEastAsia" w:hAnsiTheme="minorEastAsia" w:eastAsiaTheme="minorEastAsia"/>
          <w:highlight w:val="none"/>
        </w:rPr>
        <w:t>的书面质疑材料、发现</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的综合报价明显低于其他</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或者设有标底时明显低于标底，认为</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可能低于其个别成本的，应当书面要求该</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做出书面说明并提供相关证明材料。</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不能合理说明或者不能提供相应证明材料的，由</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委员会认定该</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以低于成本报价</w:t>
      </w:r>
      <w:r>
        <w:rPr>
          <w:rFonts w:hint="eastAsia" w:asciiTheme="minorEastAsia" w:hAnsiTheme="minorEastAsia" w:eastAsiaTheme="minorEastAsia"/>
          <w:highlight w:val="none"/>
          <w:lang w:eastAsia="zh-CN"/>
        </w:rPr>
        <w:t>响应</w:t>
      </w:r>
      <w:r>
        <w:rPr>
          <w:rFonts w:hint="eastAsia" w:asciiTheme="minorEastAsia" w:hAnsiTheme="minorEastAsia" w:eastAsiaTheme="minorEastAsia"/>
          <w:highlight w:val="none"/>
        </w:rPr>
        <w:t>，</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0D2CF511">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3.1.4</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有算术错误的，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委员会按照以下原则对</w:t>
      </w:r>
      <w:r>
        <w:rPr>
          <w:rFonts w:hint="eastAsia" w:asciiTheme="minorEastAsia" w:hAnsiTheme="minorEastAsia" w:eastAsiaTheme="minorEastAsia"/>
          <w:highlight w:val="none"/>
          <w:lang w:eastAsia="zh-CN"/>
        </w:rPr>
        <w:t>响应报价</w:t>
      </w:r>
      <w:r>
        <w:rPr>
          <w:rFonts w:hint="eastAsia" w:asciiTheme="minorEastAsia" w:hAnsiTheme="minorEastAsia" w:eastAsiaTheme="minorEastAsia"/>
          <w:highlight w:val="none"/>
        </w:rPr>
        <w:t>进行修正，修正的价格经</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书面确认后具有约束力。</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不接受修正价格的，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委员会应当</w:t>
      </w:r>
      <w:r>
        <w:rPr>
          <w:rFonts w:hint="eastAsia" w:asciiTheme="minorEastAsia" w:hAnsiTheme="minorEastAsia" w:eastAsiaTheme="minorEastAsia"/>
          <w:highlight w:val="none"/>
          <w:lang w:eastAsia="zh-CN"/>
        </w:rPr>
        <w:t>否决其响应</w:t>
      </w:r>
      <w:r>
        <w:rPr>
          <w:rFonts w:hint="eastAsia" w:asciiTheme="minorEastAsia" w:hAnsiTheme="minorEastAsia" w:eastAsiaTheme="minorEastAsia"/>
          <w:highlight w:val="none"/>
        </w:rPr>
        <w:t>。</w:t>
      </w:r>
    </w:p>
    <w:p w14:paraId="36498DD2">
      <w:pPr>
        <w:adjustRightInd w:val="0"/>
        <w:snapToGrid w:val="0"/>
        <w:spacing w:line="440" w:lineRule="exact"/>
        <w:ind w:firstLine="424" w:firstLineChars="202"/>
        <w:rPr>
          <w:rFonts w:asciiTheme="minorEastAsia" w:hAnsiTheme="minorEastAsia" w:eastAsiaTheme="minorEastAsia" w:cstheme="minorEastAsia"/>
          <w:szCs w:val="21"/>
        </w:rPr>
      </w:pPr>
      <w:bookmarkStart w:id="1434" w:name="_Toc4450"/>
      <w:bookmarkStart w:id="1435" w:name="_Toc1356"/>
      <w:bookmarkStart w:id="1436" w:name="_Toc450489351"/>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szCs w:val="21"/>
          <w:lang w:val="en-US" w:eastAsia="zh-CN"/>
        </w:rPr>
        <w:t>询比</w:t>
      </w:r>
      <w:r>
        <w:rPr>
          <w:rFonts w:hint="eastAsia" w:asciiTheme="minorEastAsia" w:hAnsiTheme="minorEastAsia" w:eastAsiaTheme="minorEastAsia" w:cstheme="minorEastAsia"/>
          <w:szCs w:val="21"/>
        </w:rPr>
        <w:t>文件中的大写金额与小写金额不一致的，以大写金额为准；</w:t>
      </w:r>
    </w:p>
    <w:p w14:paraId="18FF17A3">
      <w:pPr>
        <w:adjustRightInd w:val="0"/>
        <w:snapToGrid w:val="0"/>
        <w:spacing w:line="44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（2）总价金额与根据单价计算出的结果不一致的，以单价金额为准修正总价，但单价金额小数点有明显错误的除外。</w:t>
      </w:r>
    </w:p>
    <w:p w14:paraId="6F219B67">
      <w:pPr>
        <w:adjustRightInd w:val="0"/>
        <w:snapToGrid w:val="0"/>
        <w:spacing w:line="440" w:lineRule="exact"/>
        <w:ind w:firstLine="424" w:firstLineChars="20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(3)含税金额与根据不含税金额计算出的结果不一致的，以不含税金额为准修正含税金额，但不含税金额有明显错误的除外。</w:t>
      </w:r>
    </w:p>
    <w:p w14:paraId="0A5567B2">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437" w:name="_Toc4284"/>
      <w:bookmarkStart w:id="1438" w:name="_Toc17180"/>
      <w:bookmarkStart w:id="1439" w:name="_Toc6091"/>
      <w:bookmarkStart w:id="1440" w:name="_Toc8808"/>
      <w:bookmarkStart w:id="1441" w:name="_Toc17616"/>
      <w:bookmarkStart w:id="1442" w:name="_Toc28319"/>
      <w:bookmarkStart w:id="1443" w:name="_Toc27233"/>
      <w:bookmarkStart w:id="1444" w:name="_Toc7450"/>
      <w:bookmarkStart w:id="1445" w:name="_Toc26077"/>
      <w:bookmarkStart w:id="1446" w:name="_Toc31064"/>
      <w:bookmarkStart w:id="1447" w:name="_Toc16797"/>
      <w:bookmarkStart w:id="1448" w:name="_Toc21468"/>
      <w:bookmarkStart w:id="1449" w:name="_Toc3664"/>
      <w:bookmarkStart w:id="1450" w:name="_Toc19497"/>
      <w:r>
        <w:rPr>
          <w:rFonts w:hint="eastAsia" w:asciiTheme="minorEastAsia" w:hAnsiTheme="minorEastAsia" w:eastAsiaTheme="minorEastAsia"/>
          <w:sz w:val="24"/>
          <w:szCs w:val="24"/>
          <w:highlight w:val="none"/>
        </w:rPr>
        <w:t>3.2详细评审</w:t>
      </w:r>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p>
    <w:p w14:paraId="1078BAD6">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asciiTheme="minorEastAsia" w:hAnsiTheme="minorEastAsia" w:eastAsiaTheme="minorEastAsia"/>
          <w:highlight w:val="none"/>
        </w:rPr>
        <w:t>3.2.1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委员会按照本章第2.2款规定的评审因素和量化标准进行评分，并计算出综合评估得分。</w:t>
      </w:r>
    </w:p>
    <w:p w14:paraId="14B9F2F0">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3.2.2评分分值计算原则上保留小数点后两位，小数点后第三位“四舍五入”。另有规定的，见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748FEF15">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451" w:name="_Toc8852"/>
      <w:bookmarkStart w:id="1452" w:name="_Toc24564"/>
      <w:bookmarkStart w:id="1453" w:name="_Toc1394"/>
      <w:bookmarkStart w:id="1454" w:name="_Toc447265561"/>
      <w:bookmarkStart w:id="1455" w:name="_Toc22301"/>
      <w:bookmarkStart w:id="1456" w:name="_Toc8326"/>
      <w:bookmarkStart w:id="1457" w:name="_Toc16753"/>
      <w:bookmarkStart w:id="1458" w:name="_Toc5812"/>
      <w:bookmarkStart w:id="1459" w:name="_Toc450489352"/>
      <w:bookmarkStart w:id="1460" w:name="_Toc30555"/>
      <w:bookmarkStart w:id="1461" w:name="_Toc4826"/>
      <w:bookmarkStart w:id="1462" w:name="_Toc19295"/>
      <w:bookmarkStart w:id="1463" w:name="_Toc447265275"/>
      <w:bookmarkStart w:id="1464" w:name="_Toc21068"/>
      <w:bookmarkStart w:id="1465" w:name="_Toc17455"/>
      <w:bookmarkStart w:id="1466" w:name="_Toc6952"/>
      <w:bookmarkStart w:id="1467" w:name="_Toc1528"/>
      <w:bookmarkStart w:id="1468" w:name="_Toc1305"/>
      <w:bookmarkStart w:id="1469" w:name="_Toc6639"/>
      <w:r>
        <w:rPr>
          <w:rFonts w:hint="eastAsia" w:asciiTheme="minorEastAsia" w:hAnsiTheme="minorEastAsia" w:eastAsiaTheme="minorEastAsia"/>
          <w:sz w:val="24"/>
          <w:szCs w:val="24"/>
          <w:highlight w:val="none"/>
        </w:rPr>
        <w:t>3.3</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的澄清</w:t>
      </w:r>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p>
    <w:p w14:paraId="56E0314E">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3.3.1在</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过程中，</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委员会可以书面形式要求</w:t>
      </w:r>
      <w:r>
        <w:rPr>
          <w:rFonts w:hint="eastAsia" w:asciiTheme="minorEastAsia" w:hAnsiTheme="minorEastAsia" w:eastAsiaTheme="minorEastAsia"/>
          <w:highlight w:val="none"/>
          <w:lang w:val="en-US" w:eastAsia="zh-CN"/>
        </w:rPr>
        <w:t>供应商</w:t>
      </w:r>
      <w:r>
        <w:rPr>
          <w:rFonts w:hint="eastAsia" w:asciiTheme="minorEastAsia" w:hAnsiTheme="minorEastAsia" w:eastAsiaTheme="minorEastAsia"/>
          <w:highlight w:val="none"/>
        </w:rPr>
        <w:t>对</w:t>
      </w:r>
      <w:r>
        <w:rPr>
          <w:rFonts w:hint="eastAsia" w:asciiTheme="minorEastAsia" w:hAnsiTheme="minorEastAsia" w:eastAsiaTheme="minorEastAsia"/>
          <w:highlight w:val="none"/>
          <w:lang w:val="en-US" w:eastAsia="zh-CN"/>
        </w:rPr>
        <w:t>响应</w:t>
      </w:r>
      <w:r>
        <w:rPr>
          <w:rFonts w:hint="eastAsia" w:asciiTheme="minorEastAsia" w:hAnsiTheme="minorEastAsia" w:eastAsiaTheme="minorEastAsia"/>
          <w:highlight w:val="none"/>
        </w:rPr>
        <w:t>文件中含义不明确、对同类问题表述不一致或者有明显文字和计算错误的内容</w:t>
      </w:r>
      <w:r>
        <w:rPr>
          <w:rFonts w:hint="eastAsia" w:asciiTheme="minorEastAsia" w:hAnsiTheme="minorEastAsia" w:eastAsiaTheme="minorEastAsia"/>
          <w:highlight w:val="none"/>
          <w:lang w:val="en-US" w:eastAsia="zh-CN"/>
        </w:rPr>
        <w:t>进行</w:t>
      </w:r>
      <w:r>
        <w:rPr>
          <w:rFonts w:hint="eastAsia" w:asciiTheme="minorEastAsia" w:hAnsiTheme="minorEastAsia" w:eastAsiaTheme="minorEastAsia"/>
          <w:highlight w:val="none"/>
        </w:rPr>
        <w:t>必要的澄清、说明</w:t>
      </w:r>
      <w:r>
        <w:rPr>
          <w:rFonts w:hint="eastAsia" w:asciiTheme="minorEastAsia" w:hAnsiTheme="minorEastAsia" w:eastAsiaTheme="minorEastAsia"/>
          <w:highlight w:val="none"/>
          <w:lang w:val="en-US" w:eastAsia="zh-CN"/>
        </w:rPr>
        <w:t>或</w:t>
      </w:r>
      <w:r>
        <w:rPr>
          <w:rFonts w:hint="eastAsia" w:asciiTheme="minorEastAsia" w:hAnsiTheme="minorEastAsia" w:eastAsiaTheme="minorEastAsia"/>
          <w:highlight w:val="none"/>
        </w:rPr>
        <w:t>对</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中的细微偏差进行补正。</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委员会不接受</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主动提出的澄清、说明或者补正。</w:t>
      </w:r>
    </w:p>
    <w:p w14:paraId="4464F6B7">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3.3.2细微偏差是指</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在实质上响应</w:t>
      </w:r>
      <w:r>
        <w:rPr>
          <w:rFonts w:hint="eastAsia" w:asciiTheme="minorEastAsia" w:hAnsiTheme="minorEastAsia" w:eastAsiaTheme="minorEastAsia"/>
          <w:highlight w:val="none"/>
          <w:lang w:eastAsia="zh-CN"/>
        </w:rPr>
        <w:t>询比文件</w:t>
      </w:r>
      <w:r>
        <w:rPr>
          <w:rFonts w:hint="eastAsia" w:asciiTheme="minorEastAsia" w:hAnsiTheme="minorEastAsia" w:eastAsiaTheme="minorEastAsia"/>
          <w:highlight w:val="none"/>
        </w:rPr>
        <w:t>要求，但个别地方存在漏项或者提供了不完整的技术信息和数据等情况，并且补正这些遗漏或者不完整不会对其他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造成不公平的结果。细微偏差不影响</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的有效性。</w:t>
      </w:r>
    </w:p>
    <w:p w14:paraId="751C55C6">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3.3.3澄清、说明和补正不得改变</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的实质性内容（算术性错误修正的除外）。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的书面澄清、说明和补正属于</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的组成部分。</w:t>
      </w:r>
    </w:p>
    <w:p w14:paraId="47CCE66C">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3.3.4</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委员会对</w:t>
      </w:r>
      <w:r>
        <w:rPr>
          <w:rFonts w:hint="eastAsia" w:asciiTheme="minorEastAsia" w:hAnsiTheme="minorEastAsia" w:eastAsiaTheme="minorEastAsia"/>
          <w:highlight w:val="none"/>
          <w:lang w:eastAsia="zh-CN"/>
        </w:rPr>
        <w:t>供应商提交</w:t>
      </w:r>
      <w:r>
        <w:rPr>
          <w:rFonts w:hint="eastAsia" w:asciiTheme="minorEastAsia" w:hAnsiTheme="minorEastAsia" w:eastAsiaTheme="minorEastAsia"/>
          <w:highlight w:val="none"/>
        </w:rPr>
        <w:t>的澄清、说明或者补正有疑问的，可以要求</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进一步澄清、说明或者补正，直至满足</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委员会的要求。</w:t>
      </w:r>
    </w:p>
    <w:p w14:paraId="221633A4">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asciiTheme="minorEastAsia" w:hAnsiTheme="minorEastAsia" w:eastAsiaTheme="minorEastAsia"/>
          <w:highlight w:val="none"/>
        </w:rPr>
        <w:t>3.3.5</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委员会必要时可以要求</w:t>
      </w:r>
      <w:r>
        <w:rPr>
          <w:rFonts w:hint="eastAsia" w:asciiTheme="minorEastAsia" w:hAnsiTheme="minorEastAsia" w:eastAsiaTheme="minorEastAsia"/>
          <w:highlight w:val="none"/>
          <w:lang w:eastAsia="zh-CN"/>
        </w:rPr>
        <w:t>供应商递交</w:t>
      </w:r>
      <w:r>
        <w:rPr>
          <w:rFonts w:hint="eastAsia" w:asciiTheme="minorEastAsia" w:hAnsiTheme="minorEastAsia" w:eastAsiaTheme="minorEastAsia"/>
          <w:highlight w:val="none"/>
        </w:rPr>
        <w:t>有关证明和证件的原件，以便核验。</w:t>
      </w:r>
    </w:p>
    <w:p w14:paraId="1EEAF8DB">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470" w:name="_Toc20152"/>
      <w:bookmarkStart w:id="1471" w:name="_Toc29993"/>
      <w:bookmarkStart w:id="1472" w:name="_Toc17835"/>
      <w:bookmarkStart w:id="1473" w:name="_Toc21568"/>
      <w:bookmarkStart w:id="1474" w:name="_Toc9099"/>
      <w:bookmarkStart w:id="1475" w:name="_Toc13432"/>
      <w:bookmarkStart w:id="1476" w:name="_Toc450489353"/>
      <w:bookmarkStart w:id="1477" w:name="_Toc23226"/>
      <w:bookmarkStart w:id="1478" w:name="_Toc9136"/>
      <w:bookmarkStart w:id="1479" w:name="_Toc1344"/>
      <w:bookmarkStart w:id="1480" w:name="_Toc30922"/>
      <w:bookmarkStart w:id="1481" w:name="_Toc16117"/>
      <w:bookmarkStart w:id="1482" w:name="_Toc4971"/>
      <w:bookmarkStart w:id="1483" w:name="_Toc17707"/>
      <w:bookmarkStart w:id="1484" w:name="_Toc8643"/>
      <w:bookmarkStart w:id="1485" w:name="_Toc24062"/>
      <w:bookmarkStart w:id="1486" w:name="_Toc20233"/>
      <w:r>
        <w:rPr>
          <w:rFonts w:hint="eastAsia" w:asciiTheme="minorEastAsia" w:hAnsiTheme="minorEastAsia" w:eastAsiaTheme="minorEastAsia"/>
          <w:sz w:val="24"/>
          <w:szCs w:val="24"/>
          <w:highlight w:val="none"/>
        </w:rPr>
        <w:t>3.4</w:t>
      </w:r>
      <w:r>
        <w:rPr>
          <w:rFonts w:hint="eastAsia" w:asciiTheme="minorEastAsia" w:hAnsiTheme="minorEastAsia" w:eastAsiaTheme="minorEastAsia"/>
          <w:sz w:val="24"/>
          <w:szCs w:val="24"/>
          <w:highlight w:val="none"/>
          <w:lang w:eastAsia="zh-CN"/>
        </w:rPr>
        <w:t>成交候选人</w:t>
      </w:r>
      <w:r>
        <w:rPr>
          <w:rFonts w:hint="eastAsia" w:asciiTheme="minorEastAsia" w:hAnsiTheme="minorEastAsia" w:eastAsiaTheme="minorEastAsia"/>
          <w:sz w:val="24"/>
          <w:szCs w:val="24"/>
          <w:highlight w:val="none"/>
        </w:rPr>
        <w:t>推荐原则</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p>
    <w:p w14:paraId="6FD2261E">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3.4.1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委员会按照综合评分由高到低的顺序推荐</w:t>
      </w:r>
      <w:r>
        <w:rPr>
          <w:rFonts w:hint="eastAsia" w:asciiTheme="minorEastAsia" w:hAnsiTheme="minorEastAsia" w:eastAsiaTheme="minorEastAsia"/>
          <w:highlight w:val="none"/>
          <w:lang w:eastAsia="zh-CN"/>
        </w:rPr>
        <w:t>成交候选人</w:t>
      </w:r>
      <w:r>
        <w:rPr>
          <w:rFonts w:hint="eastAsia" w:asciiTheme="minorEastAsia" w:hAnsiTheme="minorEastAsia" w:eastAsiaTheme="minorEastAsia"/>
          <w:highlight w:val="none"/>
        </w:rPr>
        <w:t>。综合评分相同的，处理原则见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41A4C22E">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3.4.2</w:t>
      </w:r>
      <w:r>
        <w:rPr>
          <w:rFonts w:hint="eastAsia" w:asciiTheme="minorEastAsia" w:hAnsiTheme="minorEastAsia" w:eastAsiaTheme="minorEastAsia"/>
          <w:highlight w:val="none"/>
          <w:lang w:eastAsia="zh-CN"/>
        </w:rPr>
        <w:t>成交候选人</w:t>
      </w:r>
      <w:r>
        <w:rPr>
          <w:rFonts w:hint="eastAsia" w:asciiTheme="minorEastAsia" w:hAnsiTheme="minorEastAsia" w:eastAsiaTheme="minorEastAsia"/>
          <w:highlight w:val="none"/>
        </w:rPr>
        <w:t>推荐原则见</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办法前附表。</w:t>
      </w:r>
    </w:p>
    <w:p w14:paraId="02B5496E">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2"/>
        <w:rPr>
          <w:rFonts w:hint="eastAsia" w:asciiTheme="minorEastAsia" w:hAnsiTheme="minorEastAsia" w:eastAsiaTheme="minorEastAsia"/>
          <w:sz w:val="24"/>
          <w:szCs w:val="24"/>
          <w:highlight w:val="none"/>
        </w:rPr>
      </w:pPr>
      <w:bookmarkStart w:id="1487" w:name="_Toc28540"/>
      <w:bookmarkStart w:id="1488" w:name="_Toc31631"/>
      <w:bookmarkStart w:id="1489" w:name="_Toc23019"/>
      <w:bookmarkStart w:id="1490" w:name="_Toc14032"/>
      <w:bookmarkStart w:id="1491" w:name="_Toc17898"/>
      <w:bookmarkStart w:id="1492" w:name="_Toc24082"/>
      <w:bookmarkStart w:id="1493" w:name="_Toc11734"/>
      <w:bookmarkStart w:id="1494" w:name="_Toc18598"/>
      <w:bookmarkStart w:id="1495" w:name="_Toc17221"/>
      <w:bookmarkStart w:id="1496" w:name="_Toc15981"/>
      <w:bookmarkStart w:id="1497" w:name="_Toc12830"/>
      <w:bookmarkStart w:id="1498" w:name="_Toc20418"/>
      <w:bookmarkStart w:id="1499" w:name="_Toc450489354"/>
      <w:bookmarkStart w:id="1500" w:name="_Toc12927"/>
      <w:bookmarkStart w:id="1501" w:name="_Toc16709"/>
      <w:bookmarkStart w:id="1502" w:name="_Toc26034"/>
      <w:bookmarkStart w:id="1503" w:name="_Toc15891"/>
      <w:r>
        <w:rPr>
          <w:rFonts w:hint="eastAsia" w:asciiTheme="minorEastAsia" w:hAnsiTheme="minorEastAsia" w:eastAsiaTheme="minorEastAsia"/>
          <w:sz w:val="24"/>
          <w:szCs w:val="24"/>
          <w:highlight w:val="none"/>
        </w:rPr>
        <w:t>3.5</w:t>
      </w:r>
      <w:r>
        <w:rPr>
          <w:rFonts w:hint="eastAsia" w:asciiTheme="minorEastAsia" w:hAnsiTheme="minorEastAsia" w:eastAsiaTheme="minorEastAsia"/>
          <w:sz w:val="24"/>
          <w:szCs w:val="24"/>
          <w:highlight w:val="none"/>
          <w:lang w:eastAsia="zh-CN"/>
        </w:rPr>
        <w:t>评审</w:t>
      </w:r>
      <w:r>
        <w:rPr>
          <w:rFonts w:hint="eastAsia" w:asciiTheme="minorEastAsia" w:hAnsiTheme="minorEastAsia" w:eastAsiaTheme="minorEastAsia"/>
          <w:sz w:val="24"/>
          <w:szCs w:val="24"/>
          <w:highlight w:val="none"/>
        </w:rPr>
        <w:t>结果</w:t>
      </w:r>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p>
    <w:p w14:paraId="392A7A74">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3.5.1</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委员会完成</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后，应当向</w:t>
      </w:r>
      <w:r>
        <w:rPr>
          <w:rFonts w:hint="eastAsia" w:asciiTheme="minorEastAsia" w:hAnsiTheme="minorEastAsia" w:eastAsiaTheme="minorEastAsia"/>
          <w:highlight w:val="none"/>
          <w:lang w:eastAsia="zh-CN"/>
        </w:rPr>
        <w:t>采购人</w:t>
      </w:r>
      <w:r>
        <w:rPr>
          <w:rFonts w:hint="eastAsia" w:asciiTheme="minorEastAsia" w:hAnsiTheme="minorEastAsia" w:eastAsiaTheme="minorEastAsia"/>
          <w:highlight w:val="none"/>
          <w:lang w:val="en-US" w:eastAsia="zh-CN"/>
        </w:rPr>
        <w:t>提交</w:t>
      </w:r>
      <w:r>
        <w:rPr>
          <w:rFonts w:hint="eastAsia" w:asciiTheme="minorEastAsia" w:hAnsiTheme="minorEastAsia" w:eastAsiaTheme="minorEastAsia"/>
          <w:highlight w:val="none"/>
        </w:rPr>
        <w:t>书面</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委员会分组评审的，应当形成统一、完整的</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w:t>
      </w:r>
    </w:p>
    <w:p w14:paraId="51D4713A">
      <w:pPr>
        <w:pStyle w:val="21"/>
        <w:tabs>
          <w:tab w:val="left" w:pos="630"/>
        </w:tabs>
        <w:snapToGrid w:val="0"/>
        <w:spacing w:line="440" w:lineRule="exact"/>
        <w:ind w:firstLine="424" w:firstLineChars="202"/>
        <w:rPr>
          <w:rFonts w:asciiTheme="minorEastAsia" w:hAnsiTheme="minorEastAsia" w:eastAsiaTheme="minorEastAsia"/>
          <w:highlight w:val="none"/>
        </w:rPr>
      </w:pPr>
      <w:r>
        <w:rPr>
          <w:rFonts w:hint="eastAsia" w:asciiTheme="minorEastAsia" w:hAnsiTheme="minorEastAsia" w:eastAsiaTheme="minorEastAsia"/>
          <w:highlight w:val="none"/>
        </w:rPr>
        <w:t>3.5.2</w:t>
      </w:r>
      <w:r>
        <w:rPr>
          <w:rFonts w:hint="eastAsia" w:asciiTheme="minorEastAsia" w:hAnsiTheme="minorEastAsia" w:eastAsiaTheme="minorEastAsia"/>
          <w:highlight w:val="none"/>
          <w:lang w:eastAsia="zh-CN"/>
        </w:rPr>
        <w:t>评审</w:t>
      </w:r>
      <w:r>
        <w:rPr>
          <w:rFonts w:hint="eastAsia" w:asciiTheme="minorEastAsia" w:hAnsiTheme="minorEastAsia" w:eastAsiaTheme="minorEastAsia"/>
          <w:highlight w:val="none"/>
        </w:rPr>
        <w:t>报告应当包括下列内容：</w:t>
      </w:r>
    </w:p>
    <w:p w14:paraId="5CC27C83">
      <w:pPr>
        <w:pStyle w:val="48"/>
        <w:numPr>
          <w:ilvl w:val="0"/>
          <w:numId w:val="0"/>
        </w:numPr>
        <w:tabs>
          <w:tab w:val="left" w:pos="993"/>
        </w:tabs>
        <w:adjustRightInd w:val="0"/>
        <w:snapToGrid w:val="0"/>
        <w:spacing w:line="440" w:lineRule="exact"/>
        <w:ind w:left="0" w:leftChars="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kern w:val="2"/>
          <w:sz w:val="21"/>
          <w:szCs w:val="21"/>
          <w:lang w:val="en-US" w:eastAsia="zh-CN" w:bidi="ar-SA"/>
        </w:rPr>
        <w:t>（1）</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概况（包括</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日程、</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方法和标准、</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委员会名单、</w:t>
      </w:r>
      <w:r>
        <w:rPr>
          <w:rFonts w:hint="eastAsia" w:cs="宋体" w:asciiTheme="minorEastAsia" w:hAnsiTheme="minorEastAsia" w:eastAsiaTheme="minorEastAsia"/>
          <w:szCs w:val="21"/>
          <w:highlight w:val="none"/>
          <w:lang w:eastAsia="zh-CN"/>
        </w:rPr>
        <w:t>响应文件开启</w:t>
      </w:r>
      <w:r>
        <w:rPr>
          <w:rFonts w:hint="eastAsia" w:cs="宋体" w:asciiTheme="minorEastAsia" w:hAnsiTheme="minorEastAsia" w:eastAsiaTheme="minorEastAsia"/>
          <w:szCs w:val="21"/>
          <w:highlight w:val="none"/>
        </w:rPr>
        <w:t>记录等</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基本情况）；</w:t>
      </w:r>
    </w:p>
    <w:p w14:paraId="6D1D6E5D">
      <w:pPr>
        <w:pStyle w:val="48"/>
        <w:numPr>
          <w:ilvl w:val="0"/>
          <w:numId w:val="0"/>
        </w:numPr>
        <w:tabs>
          <w:tab w:val="left" w:pos="993"/>
        </w:tabs>
        <w:adjustRightInd w:val="0"/>
        <w:snapToGrid w:val="0"/>
        <w:spacing w:line="440" w:lineRule="exact"/>
        <w:ind w:left="0" w:leftChars="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kern w:val="2"/>
          <w:sz w:val="21"/>
          <w:szCs w:val="21"/>
          <w:lang w:val="en-US" w:eastAsia="zh-CN" w:bidi="ar-SA"/>
        </w:rPr>
        <w:t>（2）</w:t>
      </w:r>
      <w:r>
        <w:rPr>
          <w:rFonts w:hint="eastAsia" w:cs="宋体" w:asciiTheme="minorEastAsia" w:hAnsiTheme="minorEastAsia" w:eastAsiaTheme="minorEastAsia"/>
          <w:szCs w:val="21"/>
          <w:highlight w:val="none"/>
        </w:rPr>
        <w:t>资格审查结果及技术、服务、商务和价格比较；</w:t>
      </w:r>
    </w:p>
    <w:p w14:paraId="7DBD2AF1">
      <w:pPr>
        <w:pStyle w:val="48"/>
        <w:numPr>
          <w:ilvl w:val="0"/>
          <w:numId w:val="0"/>
        </w:numPr>
        <w:tabs>
          <w:tab w:val="left" w:pos="993"/>
        </w:tabs>
        <w:adjustRightInd w:val="0"/>
        <w:snapToGrid w:val="0"/>
        <w:spacing w:line="440" w:lineRule="exact"/>
        <w:ind w:left="0" w:leftChars="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kern w:val="2"/>
          <w:sz w:val="21"/>
          <w:szCs w:val="21"/>
          <w:lang w:val="en-US" w:eastAsia="zh-CN" w:bidi="ar-SA"/>
        </w:rPr>
        <w:t>（3）</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专家评分原始记录表和</w:t>
      </w:r>
      <w:r>
        <w:rPr>
          <w:rFonts w:hint="eastAsia" w:cs="宋体" w:asciiTheme="minorEastAsia" w:hAnsiTheme="minorEastAsia" w:eastAsiaTheme="minorEastAsia"/>
          <w:szCs w:val="21"/>
          <w:highlight w:val="none"/>
          <w:lang w:eastAsia="zh-CN"/>
        </w:rPr>
        <w:t>否决响应</w:t>
      </w:r>
      <w:r>
        <w:rPr>
          <w:rFonts w:hint="eastAsia" w:cs="宋体" w:asciiTheme="minorEastAsia" w:hAnsiTheme="minorEastAsia" w:eastAsiaTheme="minorEastAsia"/>
          <w:szCs w:val="21"/>
          <w:highlight w:val="none"/>
        </w:rPr>
        <w:t>的情况说明；</w:t>
      </w:r>
    </w:p>
    <w:p w14:paraId="4B22F7C0">
      <w:pPr>
        <w:pStyle w:val="48"/>
        <w:numPr>
          <w:ilvl w:val="0"/>
          <w:numId w:val="0"/>
        </w:numPr>
        <w:tabs>
          <w:tab w:val="left" w:pos="993"/>
        </w:tabs>
        <w:adjustRightInd w:val="0"/>
        <w:snapToGrid w:val="0"/>
        <w:spacing w:line="440" w:lineRule="exact"/>
        <w:ind w:left="0" w:leftChars="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kern w:val="2"/>
          <w:sz w:val="21"/>
          <w:szCs w:val="21"/>
          <w:lang w:val="en-US" w:eastAsia="zh-CN" w:bidi="ar-SA"/>
        </w:rPr>
        <w:t>（4）</w:t>
      </w:r>
      <w:r>
        <w:rPr>
          <w:rFonts w:hint="eastAsia" w:cs="宋体" w:asciiTheme="minorEastAsia" w:hAnsiTheme="minorEastAsia" w:eastAsiaTheme="minorEastAsia"/>
          <w:szCs w:val="21"/>
          <w:highlight w:val="none"/>
          <w:lang w:val="en-US" w:eastAsia="zh-CN"/>
        </w:rPr>
        <w:t>响应</w:t>
      </w:r>
      <w:r>
        <w:rPr>
          <w:rFonts w:hint="eastAsia" w:cs="宋体" w:asciiTheme="minorEastAsia" w:hAnsiTheme="minorEastAsia" w:eastAsiaTheme="minorEastAsia"/>
          <w:szCs w:val="21"/>
          <w:highlight w:val="none"/>
          <w:lang w:eastAsia="zh-CN"/>
        </w:rPr>
        <w:t>供应商</w:t>
      </w:r>
      <w:r>
        <w:rPr>
          <w:rFonts w:hint="eastAsia" w:cs="宋体" w:asciiTheme="minorEastAsia" w:hAnsiTheme="minorEastAsia" w:eastAsiaTheme="minorEastAsia"/>
          <w:szCs w:val="21"/>
          <w:highlight w:val="none"/>
        </w:rPr>
        <w:t>的排名顺序及推荐的</w:t>
      </w:r>
      <w:r>
        <w:rPr>
          <w:rFonts w:hint="eastAsia" w:cs="宋体" w:asciiTheme="minorEastAsia" w:hAnsiTheme="minorEastAsia" w:eastAsiaTheme="minorEastAsia"/>
          <w:szCs w:val="21"/>
          <w:highlight w:val="none"/>
          <w:lang w:eastAsia="zh-CN"/>
        </w:rPr>
        <w:t>成交候选人</w:t>
      </w:r>
      <w:r>
        <w:rPr>
          <w:rFonts w:hint="eastAsia" w:cs="宋体" w:asciiTheme="minorEastAsia" w:hAnsiTheme="minorEastAsia" w:eastAsiaTheme="minorEastAsia"/>
          <w:szCs w:val="21"/>
          <w:highlight w:val="none"/>
        </w:rPr>
        <w:t>；</w:t>
      </w:r>
    </w:p>
    <w:p w14:paraId="559640B9">
      <w:pPr>
        <w:pStyle w:val="48"/>
        <w:numPr>
          <w:ilvl w:val="0"/>
          <w:numId w:val="0"/>
        </w:numPr>
        <w:tabs>
          <w:tab w:val="left" w:pos="993"/>
        </w:tabs>
        <w:adjustRightInd w:val="0"/>
        <w:snapToGrid w:val="0"/>
        <w:spacing w:line="440" w:lineRule="exact"/>
        <w:ind w:left="0" w:leftChars="0" w:firstLine="424" w:firstLineChars="202"/>
        <w:rPr>
          <w:rFonts w:cs="宋体" w:asciiTheme="minorEastAsia" w:hAnsiTheme="minorEastAsia" w:eastAsiaTheme="minorEastAsia"/>
          <w:szCs w:val="21"/>
          <w:highlight w:val="none"/>
        </w:rPr>
      </w:pPr>
      <w:r>
        <w:rPr>
          <w:rFonts w:hint="eastAsia" w:cs="宋体" w:asciiTheme="minorEastAsia" w:hAnsiTheme="minorEastAsia" w:eastAsiaTheme="minorEastAsia"/>
          <w:kern w:val="2"/>
          <w:sz w:val="21"/>
          <w:szCs w:val="21"/>
          <w:lang w:val="en-US" w:eastAsia="zh-CN" w:bidi="ar-SA"/>
        </w:rPr>
        <w:t>（5）</w:t>
      </w:r>
      <w:r>
        <w:rPr>
          <w:rFonts w:hint="eastAsia" w:cs="宋体" w:asciiTheme="minorEastAsia" w:hAnsiTheme="minorEastAsia" w:eastAsiaTheme="minorEastAsia"/>
          <w:szCs w:val="21"/>
          <w:highlight w:val="none"/>
        </w:rPr>
        <w:t>签订合同前要处理的事宜；</w:t>
      </w:r>
    </w:p>
    <w:p w14:paraId="306C781B">
      <w:pPr>
        <w:pStyle w:val="48"/>
        <w:numPr>
          <w:ilvl w:val="0"/>
          <w:numId w:val="0"/>
        </w:numPr>
        <w:tabs>
          <w:tab w:val="left" w:pos="993"/>
        </w:tabs>
        <w:adjustRightInd w:val="0"/>
        <w:snapToGrid w:val="0"/>
        <w:spacing w:line="440" w:lineRule="exact"/>
        <w:ind w:left="0" w:leftChars="0" w:firstLine="424" w:firstLineChars="202"/>
        <w:rPr>
          <w:rFonts w:hint="eastAsia" w:asciiTheme="minorEastAsia" w:hAnsiTheme="minorEastAsia" w:eastAsiaTheme="minorEastAsia"/>
          <w:b w:val="0"/>
          <w:bCs w:val="0"/>
          <w:szCs w:val="21"/>
        </w:rPr>
      </w:pPr>
      <w:r>
        <w:rPr>
          <w:rFonts w:hint="eastAsia" w:cs="Times New Roman" w:asciiTheme="minorEastAsia" w:hAnsiTheme="minorEastAsia" w:eastAsiaTheme="minorEastAsia"/>
          <w:b w:val="0"/>
          <w:bCs w:val="0"/>
          <w:kern w:val="2"/>
          <w:sz w:val="21"/>
          <w:szCs w:val="21"/>
          <w:lang w:val="en-US" w:eastAsia="zh-CN" w:bidi="ar-SA"/>
        </w:rPr>
        <w:t>（6）</w:t>
      </w:r>
      <w:r>
        <w:rPr>
          <w:rFonts w:hint="eastAsia" w:cs="宋体" w:asciiTheme="minorEastAsia" w:hAnsiTheme="minorEastAsia" w:eastAsiaTheme="minorEastAsia"/>
          <w:b w:val="0"/>
          <w:bCs w:val="0"/>
          <w:szCs w:val="21"/>
          <w:highlight w:val="none"/>
        </w:rPr>
        <w:t>其他重要情况说明（澄清、说明、异常低价响应、严重不平衡报价分析、评分畸高畸低、竞争性分析、补正事项纪要等）；</w:t>
      </w:r>
    </w:p>
    <w:p w14:paraId="1272C80B">
      <w:pPr>
        <w:pStyle w:val="48"/>
        <w:numPr>
          <w:ilvl w:val="0"/>
          <w:numId w:val="0"/>
        </w:numPr>
        <w:tabs>
          <w:tab w:val="left" w:pos="993"/>
        </w:tabs>
        <w:adjustRightInd w:val="0"/>
        <w:snapToGrid w:val="0"/>
        <w:spacing w:line="440" w:lineRule="exact"/>
        <w:ind w:left="0" w:leftChars="0" w:firstLine="424" w:firstLineChars="202"/>
        <w:rPr>
          <w:rFonts w:hint="eastAsia" w:asciiTheme="minorEastAsia" w:hAnsiTheme="minorEastAsia" w:eastAsiaTheme="minorEastAsia"/>
          <w:b/>
          <w:bCs/>
          <w:szCs w:val="21"/>
        </w:rPr>
      </w:pPr>
      <w:r>
        <w:rPr>
          <w:rFonts w:hint="eastAsia" w:cs="Times New Roman" w:asciiTheme="minorEastAsia" w:hAnsiTheme="minorEastAsia" w:eastAsiaTheme="minorEastAsia"/>
          <w:b w:val="0"/>
          <w:bCs w:val="0"/>
          <w:kern w:val="2"/>
          <w:sz w:val="21"/>
          <w:szCs w:val="21"/>
          <w:lang w:val="en-US" w:eastAsia="zh-CN" w:bidi="ar-SA"/>
        </w:rPr>
        <w:t>（7）</w:t>
      </w:r>
      <w:r>
        <w:rPr>
          <w:rFonts w:hint="eastAsia" w:cs="宋体" w:asciiTheme="minorEastAsia" w:hAnsiTheme="minorEastAsia" w:eastAsiaTheme="minorEastAsia"/>
          <w:b w:val="0"/>
          <w:bCs w:val="0"/>
          <w:szCs w:val="21"/>
          <w:highlight w:val="none"/>
          <w:lang w:eastAsia="zh-CN"/>
        </w:rPr>
        <w:t>评</w:t>
      </w:r>
      <w:r>
        <w:rPr>
          <w:rFonts w:hint="eastAsia" w:cs="宋体" w:asciiTheme="minorEastAsia" w:hAnsiTheme="minorEastAsia" w:eastAsiaTheme="minorEastAsia"/>
          <w:szCs w:val="21"/>
          <w:highlight w:val="none"/>
          <w:lang w:eastAsia="zh-CN"/>
        </w:rPr>
        <w:t>审</w:t>
      </w:r>
      <w:r>
        <w:rPr>
          <w:rFonts w:hint="eastAsia" w:cs="宋体" w:asciiTheme="minorEastAsia" w:hAnsiTheme="minorEastAsia" w:eastAsiaTheme="minorEastAsia"/>
          <w:szCs w:val="21"/>
          <w:highlight w:val="none"/>
        </w:rPr>
        <w:t>委员会成员名单及本人签字、拒绝在</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报告上签字的</w:t>
      </w:r>
      <w:r>
        <w:rPr>
          <w:rFonts w:hint="eastAsia" w:cs="宋体" w:asciiTheme="minorEastAsia" w:hAnsiTheme="minorEastAsia" w:eastAsiaTheme="minorEastAsia"/>
          <w:szCs w:val="21"/>
          <w:highlight w:val="none"/>
          <w:lang w:eastAsia="zh-CN"/>
        </w:rPr>
        <w:t>评审</w:t>
      </w:r>
      <w:r>
        <w:rPr>
          <w:rFonts w:hint="eastAsia" w:cs="宋体" w:asciiTheme="minorEastAsia" w:hAnsiTheme="minorEastAsia" w:eastAsiaTheme="minorEastAsia"/>
          <w:szCs w:val="21"/>
          <w:highlight w:val="none"/>
        </w:rPr>
        <w:t>委员会成员名单及其陈述的不同意见和理由。</w:t>
      </w:r>
      <w:r>
        <w:rPr>
          <w:rFonts w:asciiTheme="minorEastAsia" w:hAnsiTheme="minorEastAsia" w:eastAsiaTheme="minorEastAsia"/>
          <w:szCs w:val="21"/>
        </w:rPr>
        <w:br w:type="page"/>
      </w:r>
    </w:p>
    <w:bookmarkEnd w:id="1330"/>
    <w:p w14:paraId="3792C50A">
      <w:pPr>
        <w:pStyle w:val="21"/>
        <w:tabs>
          <w:tab w:val="left" w:pos="630"/>
        </w:tabs>
        <w:snapToGrid w:val="0"/>
        <w:spacing w:line="360" w:lineRule="exact"/>
        <w:ind w:firstLine="424" w:firstLineChars="202"/>
        <w:jc w:val="left"/>
        <w:rPr>
          <w:rFonts w:hint="eastAsia" w:asciiTheme="minorEastAsia" w:hAnsiTheme="minorEastAsia" w:eastAsiaTheme="minorEastAsia"/>
          <w:szCs w:val="21"/>
        </w:rPr>
      </w:pPr>
    </w:p>
    <w:p w14:paraId="061F9954">
      <w:pPr>
        <w:pStyle w:val="21"/>
        <w:tabs>
          <w:tab w:val="left" w:pos="630"/>
        </w:tabs>
        <w:snapToGrid w:val="0"/>
        <w:spacing w:line="360" w:lineRule="exact"/>
        <w:ind w:firstLine="424" w:firstLineChars="202"/>
        <w:jc w:val="left"/>
        <w:rPr>
          <w:rFonts w:hint="eastAsia" w:asciiTheme="minorEastAsia" w:hAnsiTheme="minorEastAsia" w:eastAsiaTheme="minorEastAsia"/>
        </w:rPr>
      </w:pPr>
    </w:p>
    <w:p w14:paraId="0549D10F">
      <w:pPr>
        <w:pStyle w:val="21"/>
        <w:tabs>
          <w:tab w:val="left" w:pos="630"/>
        </w:tabs>
        <w:snapToGrid w:val="0"/>
        <w:spacing w:line="440" w:lineRule="exact"/>
        <w:ind w:firstLine="424" w:firstLineChars="202"/>
        <w:rPr>
          <w:rFonts w:hint="eastAsia" w:asciiTheme="minorEastAsia" w:hAnsiTheme="minorEastAsia" w:eastAsiaTheme="minorEastAsia"/>
        </w:rPr>
      </w:pPr>
    </w:p>
    <w:p w14:paraId="7BE5DFFF">
      <w:pPr>
        <w:pStyle w:val="47"/>
        <w:snapToGrid w:val="0"/>
        <w:spacing w:before="120" w:after="120"/>
        <w:rPr>
          <w:rFonts w:hint="eastAsia" w:cs="宋体" w:asciiTheme="minorEastAsia" w:hAnsiTheme="minorEastAsia" w:eastAsiaTheme="minorEastAsia"/>
          <w:b/>
          <w:bCs w:val="0"/>
          <w:kern w:val="0"/>
          <w:sz w:val="28"/>
          <w:szCs w:val="28"/>
        </w:rPr>
      </w:pPr>
      <w:bookmarkStart w:id="1504" w:name="_Toc475472623"/>
      <w:bookmarkStart w:id="1505" w:name="_Toc25730"/>
      <w:bookmarkStart w:id="1506" w:name="_Toc1194"/>
      <w:bookmarkStart w:id="1507" w:name="_Toc18374"/>
      <w:bookmarkStart w:id="1508" w:name="_Toc18223"/>
      <w:bookmarkStart w:id="1509" w:name="_Toc26662"/>
      <w:bookmarkStart w:id="1510" w:name="_Toc19661"/>
      <w:bookmarkStart w:id="1511" w:name="_Toc3866"/>
      <w:bookmarkStart w:id="1512" w:name="_Toc12113"/>
      <w:bookmarkStart w:id="1513" w:name="_Toc1673"/>
      <w:bookmarkStart w:id="1514" w:name="_Toc25242"/>
      <w:bookmarkStart w:id="1515" w:name="_Toc29111"/>
      <w:bookmarkStart w:id="1516" w:name="_Toc4460"/>
      <w:bookmarkStart w:id="1517" w:name="_Toc22123"/>
      <w:bookmarkStart w:id="1518" w:name="_Toc24935"/>
      <w:bookmarkStart w:id="1519" w:name="_Toc107822570"/>
      <w:bookmarkStart w:id="1520" w:name="_Toc227057959"/>
      <w:bookmarkStart w:id="1521" w:name="_Toc447265313"/>
      <w:bookmarkStart w:id="1522" w:name="_Toc226969353"/>
      <w:bookmarkStart w:id="1523" w:name="_Toc447265599"/>
      <w:r>
        <w:rPr>
          <w:rFonts w:hint="eastAsia" w:cs="宋体" w:asciiTheme="minorEastAsia" w:hAnsiTheme="minorEastAsia" w:eastAsiaTheme="minorEastAsia"/>
          <w:b/>
          <w:bCs w:val="0"/>
          <w:kern w:val="0"/>
          <w:sz w:val="28"/>
          <w:szCs w:val="28"/>
        </w:rPr>
        <w:t>第四章 商务规范书</w:t>
      </w:r>
      <w:bookmarkEnd w:id="1504"/>
      <w:r>
        <w:rPr>
          <w:rFonts w:hint="eastAsia" w:cs="宋体" w:asciiTheme="minorEastAsia" w:hAnsiTheme="minorEastAsia" w:eastAsiaTheme="minorEastAsia"/>
          <w:b/>
          <w:bCs w:val="0"/>
          <w:kern w:val="0"/>
          <w:sz w:val="28"/>
          <w:szCs w:val="28"/>
        </w:rPr>
        <w:t>[即合同文本]</w:t>
      </w:r>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bookmarkEnd w:id="1519"/>
    <w:bookmarkEnd w:id="1520"/>
    <w:bookmarkEnd w:id="1521"/>
    <w:bookmarkEnd w:id="1522"/>
    <w:bookmarkEnd w:id="1523"/>
    <w:p w14:paraId="324442FD">
      <w:pPr>
        <w:spacing w:line="360" w:lineRule="exact"/>
        <w:jc w:val="center"/>
        <w:rPr>
          <w:rFonts w:ascii="仿宋" w:hAnsi="仿宋" w:eastAsia="仿宋" w:cs="Times New Roman"/>
          <w:b/>
          <w:color w:val="000000"/>
          <w:sz w:val="28"/>
        </w:rPr>
      </w:pPr>
      <w:bookmarkStart w:id="1524" w:name="_Toc16386"/>
      <w:bookmarkStart w:id="1525" w:name="_Toc31358"/>
      <w:bookmarkStart w:id="1526" w:name="_Toc475472662"/>
      <w:bookmarkStart w:id="1527" w:name="_Toc447265602"/>
      <w:bookmarkStart w:id="1528" w:name="_Toc447265316"/>
      <w:bookmarkStart w:id="1529" w:name="_Toc475472669"/>
      <w:r>
        <w:rPr>
          <w:rFonts w:ascii="仿宋" w:hAnsi="仿宋" w:eastAsia="仿宋" w:cs="Times New Roman"/>
          <w:b/>
          <w:color w:val="000000"/>
          <w:sz w:val="28"/>
        </w:rPr>
        <w:t>[</w:t>
      </w:r>
      <w:r>
        <w:rPr>
          <w:rFonts w:hint="eastAsia" w:ascii="仿宋" w:hAnsi="仿宋" w:eastAsia="仿宋" w:cs="Times New Roman"/>
          <w:b/>
          <w:sz w:val="28"/>
          <w:szCs w:val="28"/>
          <w:lang w:eastAsia="zh-CN"/>
        </w:rPr>
        <w:t>2025年中国电信遵义分公司湄潭县中西医结合医院床旁结算系统开发服务采购</w:t>
      </w:r>
      <w:r>
        <w:rPr>
          <w:rFonts w:ascii="仿宋" w:hAnsi="仿宋" w:eastAsia="仿宋" w:cs="Times New Roman"/>
          <w:b/>
          <w:color w:val="000000"/>
          <w:sz w:val="28"/>
        </w:rPr>
        <w:t>]</w:t>
      </w:r>
      <w:r>
        <w:rPr>
          <w:rFonts w:hint="eastAsia" w:ascii="仿宋" w:hAnsi="仿宋" w:eastAsia="仿宋" w:cs="Times New Roman"/>
          <w:b/>
          <w:color w:val="000000"/>
          <w:sz w:val="28"/>
        </w:rPr>
        <w:t>软件开发合同</w:t>
      </w:r>
    </w:p>
    <w:p w14:paraId="633B177E">
      <w:pPr>
        <w:widowControl/>
        <w:autoSpaceDE w:val="0"/>
        <w:autoSpaceDN w:val="0"/>
        <w:spacing w:line="360" w:lineRule="exact"/>
        <w:textAlignment w:val="bottom"/>
        <w:rPr>
          <w:rFonts w:ascii="仿宋" w:hAnsi="仿宋" w:eastAsia="仿宋" w:cs="Times New Roman"/>
          <w:color w:val="000000"/>
          <w:sz w:val="24"/>
        </w:rPr>
      </w:pPr>
    </w:p>
    <w:p w14:paraId="6023476F">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合同签订地：</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遵义市</w:t>
      </w:r>
      <w:r>
        <w:rPr>
          <w:rFonts w:ascii="仿宋" w:hAnsi="仿宋" w:eastAsia="仿宋" w:cs="Times New Roman"/>
          <w:color w:val="000000"/>
          <w:sz w:val="24"/>
        </w:rPr>
        <w:t xml:space="preserve">]                           </w:t>
      </w:r>
    </w:p>
    <w:p w14:paraId="46937BEA">
      <w:pPr>
        <w:widowControl/>
        <w:autoSpaceDE w:val="0"/>
        <w:autoSpaceDN w:val="0"/>
        <w:spacing w:line="360" w:lineRule="exact"/>
        <w:textAlignment w:val="bottom"/>
        <w:rPr>
          <w:rFonts w:ascii="仿宋" w:hAnsi="仿宋" w:eastAsia="仿宋" w:cs="Times New Roman"/>
          <w:color w:val="000000"/>
          <w:sz w:val="24"/>
        </w:rPr>
      </w:pPr>
    </w:p>
    <w:p w14:paraId="66C8F1F3">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甲方（委托方）：中国电信</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股份有限公司遵义分</w:t>
      </w:r>
      <w:r>
        <w:rPr>
          <w:rFonts w:hint="eastAsia" w:ascii="仿宋" w:hAnsi="仿宋" w:eastAsia="仿宋" w:cs="Times New Roman"/>
          <w:color w:val="000000"/>
          <w:sz w:val="24"/>
        </w:rPr>
        <w:t>]</w:t>
      </w:r>
      <w:r>
        <w:rPr>
          <w:rFonts w:ascii="仿宋" w:hAnsi="仿宋" w:eastAsia="仿宋" w:cs="Times New Roman"/>
          <w:color w:val="000000"/>
          <w:sz w:val="24"/>
        </w:rPr>
        <w:t>公司</w:t>
      </w:r>
    </w:p>
    <w:p w14:paraId="1BA0C912">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 xml:space="preserve">[ </w:t>
      </w:r>
      <w:r>
        <w:rPr>
          <w:rFonts w:hint="eastAsia" w:ascii="仿宋" w:hAnsi="仿宋" w:eastAsia="仿宋" w:cs="Times New Roman"/>
          <w:color w:val="000000"/>
          <w:sz w:val="24"/>
        </w:rPr>
        <w:t>贵州省遵义市大兴路249号</w:t>
      </w:r>
      <w:r>
        <w:rPr>
          <w:rFonts w:ascii="仿宋" w:hAnsi="仿宋" w:eastAsia="仿宋" w:cs="Times New Roman"/>
          <w:color w:val="000000"/>
          <w:sz w:val="24"/>
        </w:rPr>
        <w:t xml:space="preserve"> ]             </w:t>
      </w:r>
    </w:p>
    <w:p w14:paraId="29E2BB2A">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中国电信</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股份有限公司遵义分</w:t>
      </w:r>
      <w:r>
        <w:rPr>
          <w:rFonts w:ascii="仿宋" w:hAnsi="仿宋" w:eastAsia="仿宋" w:cs="Times New Roman"/>
          <w:color w:val="000000"/>
          <w:sz w:val="24"/>
        </w:rPr>
        <w:t>]公司</w:t>
      </w:r>
    </w:p>
    <w:p w14:paraId="11AE22DE">
      <w:pPr>
        <w:widowControl/>
        <w:autoSpaceDE w:val="0"/>
        <w:autoSpaceDN w:val="0"/>
        <w:spacing w:line="360" w:lineRule="exact"/>
        <w:textAlignment w:val="bottom"/>
        <w:rPr>
          <w:rFonts w:ascii="仿宋" w:hAnsi="仿宋" w:eastAsia="仿宋" w:cs="Times New Roman"/>
          <w:color w:val="000000"/>
          <w:sz w:val="24"/>
        </w:rPr>
      </w:pPr>
    </w:p>
    <w:p w14:paraId="5C41AFDE">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乙方（受托方）</w:t>
      </w:r>
      <w:r>
        <w:rPr>
          <w:rFonts w:ascii="仿宋" w:hAnsi="仿宋" w:eastAsia="仿宋" w:cs="Times New Roman"/>
          <w:color w:val="000000"/>
          <w:sz w:val="24"/>
        </w:rPr>
        <w:t>: [</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w:t>
      </w:r>
    </w:p>
    <w:p w14:paraId="161E6373">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 xml:space="preserve">] </w:t>
      </w:r>
    </w:p>
    <w:p w14:paraId="1354FF44">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r>
        <w:rPr>
          <w:rFonts w:hint="eastAsia" w:ascii="仿宋" w:hAnsi="仿宋" w:eastAsia="仿宋" w:cs="Times New Roman"/>
          <w:color w:val="000000"/>
          <w:sz w:val="24"/>
          <w:lang w:val="en-US" w:eastAsia="zh-CN"/>
        </w:rPr>
        <w:t xml:space="preserve">    </w:t>
      </w:r>
      <w:r>
        <w:rPr>
          <w:rFonts w:ascii="仿宋" w:hAnsi="仿宋" w:eastAsia="仿宋" w:cs="Times New Roman"/>
          <w:color w:val="000000"/>
          <w:sz w:val="24"/>
        </w:rPr>
        <w:t>]</w:t>
      </w:r>
    </w:p>
    <w:p w14:paraId="20D897FA">
      <w:pPr>
        <w:widowControl/>
        <w:autoSpaceDE w:val="0"/>
        <w:autoSpaceDN w:val="0"/>
        <w:spacing w:line="360" w:lineRule="exact"/>
        <w:textAlignment w:val="bottom"/>
        <w:rPr>
          <w:rFonts w:ascii="仿宋" w:hAnsi="仿宋" w:eastAsia="仿宋" w:cs="Times New Roman"/>
          <w:color w:val="000000"/>
          <w:sz w:val="24"/>
        </w:rPr>
      </w:pPr>
    </w:p>
    <w:p w14:paraId="7A41F669">
      <w:pPr>
        <w:widowControl/>
        <w:autoSpaceDE w:val="0"/>
        <w:autoSpaceDN w:val="0"/>
        <w:spacing w:line="360" w:lineRule="exact"/>
        <w:ind w:firstLine="480" w:firstLineChars="200"/>
        <w:textAlignment w:val="bottom"/>
        <w:rPr>
          <w:rFonts w:ascii="仿宋" w:hAnsi="仿宋" w:eastAsia="仿宋" w:cs="Times New Roman"/>
          <w:b/>
          <w:color w:val="000000"/>
          <w:sz w:val="24"/>
        </w:rPr>
      </w:pPr>
      <w:r>
        <w:rPr>
          <w:rFonts w:hint="eastAsia" w:ascii="仿宋" w:hAnsi="仿宋" w:eastAsia="仿宋" w:cs="Times New Roman"/>
          <w:color w:val="000000"/>
          <w:sz w:val="24"/>
        </w:rPr>
        <w:t>双方本着平等互惠的原则签署本合同。</w:t>
      </w:r>
      <w:bookmarkStart w:id="1530" w:name="_Toc33253828"/>
    </w:p>
    <w:p w14:paraId="47F4D2FF">
      <w:pPr>
        <w:widowControl/>
        <w:autoSpaceDE w:val="0"/>
        <w:autoSpaceDN w:val="0"/>
        <w:spacing w:line="360" w:lineRule="exact"/>
        <w:ind w:firstLine="482" w:firstLineChars="200"/>
        <w:textAlignment w:val="bottom"/>
        <w:rPr>
          <w:rFonts w:ascii="仿宋" w:hAnsi="仿宋" w:eastAsia="仿宋" w:cs="Times New Roman"/>
          <w:b/>
          <w:color w:val="000000"/>
          <w:sz w:val="24"/>
        </w:rPr>
      </w:pPr>
      <w:r>
        <w:rPr>
          <w:rFonts w:hint="eastAsia" w:ascii="仿宋" w:hAnsi="仿宋" w:eastAsia="仿宋" w:cs="Times New Roman"/>
          <w:b/>
          <w:color w:val="000000"/>
          <w:sz w:val="24"/>
        </w:rPr>
        <w:t>第一条定义</w:t>
      </w:r>
      <w:bookmarkEnd w:id="1530"/>
    </w:p>
    <w:p w14:paraId="66A83092">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14:paraId="37F30448">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w:t>
      </w:r>
      <w:r>
        <w:rPr>
          <w:rFonts w:hint="eastAsia" w:ascii="仿宋" w:hAnsi="仿宋" w:eastAsia="仿宋" w:cs="Times New Roman"/>
          <w:color w:val="000000"/>
          <w:sz w:val="24"/>
        </w:rPr>
        <w:t>系统软件的著作权人，在本合同中指：</w:t>
      </w:r>
      <w:r>
        <w:rPr>
          <w:rFonts w:ascii="仿宋" w:hAnsi="仿宋" w:eastAsia="仿宋" w:cs="Times New Roman"/>
          <w:color w:val="000000"/>
          <w:sz w:val="24"/>
        </w:rPr>
        <w:t>[]。</w:t>
      </w:r>
    </w:p>
    <w:p w14:paraId="7A7CD37C">
      <w:pPr>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1.3“应用软件”：乙方根据本合同商务和技术要求为[</w:t>
      </w:r>
      <w:r>
        <w:rPr>
          <w:rFonts w:hint="eastAsia" w:ascii="仿宋" w:hAnsi="仿宋" w:eastAsia="仿宋" w:cs="Times New Roman"/>
          <w:color w:val="000000"/>
          <w:sz w:val="24"/>
        </w:rPr>
        <w:t>2025年中国电信遵义分公司湄潭县中西医结合医院床旁结算系统开发服务采购</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项目</w:t>
      </w:r>
      <w:r>
        <w:rPr>
          <w:rFonts w:hint="eastAsia" w:ascii="仿宋" w:hAnsi="仿宋" w:eastAsia="仿宋" w:cs="Times New Roman"/>
          <w:color w:val="000000"/>
          <w:sz w:val="24"/>
        </w:rPr>
        <w:t>（“项目”或“工程”）开发、研制的软件</w:t>
      </w:r>
      <w:r>
        <w:rPr>
          <w:rFonts w:ascii="仿宋" w:hAnsi="仿宋" w:eastAsia="仿宋" w:cs="Times New Roman"/>
          <w:color w:val="000000"/>
          <w:sz w:val="24"/>
        </w:rPr>
        <w:t>,包括技术文件及技术资料等。</w:t>
      </w:r>
    </w:p>
    <w:p w14:paraId="49A35394">
      <w:pPr>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1.4“技术文件”或“技术资料”：合同</w:t>
      </w:r>
      <w:r>
        <w:rPr>
          <w:rFonts w:hint="eastAsia" w:ascii="仿宋" w:hAnsi="仿宋" w:eastAsia="仿宋" w:cs="Times New Roman"/>
          <w:color w:val="000000"/>
          <w:sz w:val="24"/>
        </w:rPr>
        <w:t>附件</w:t>
      </w:r>
      <w:r>
        <w:rPr>
          <w:rFonts w:hint="eastAsia" w:ascii="仿宋" w:hAnsi="仿宋" w:eastAsia="仿宋" w:cs="Times New Roman"/>
          <w:color w:val="000000"/>
          <w:sz w:val="24"/>
          <w:lang w:val="en-US" w:eastAsia="zh-CN"/>
        </w:rPr>
        <w:t>二</w:t>
      </w:r>
      <w:r>
        <w:rPr>
          <w:rFonts w:hint="eastAsia" w:ascii="仿宋" w:hAnsi="仿宋" w:eastAsia="仿宋" w:cs="Times New Roman"/>
          <w:color w:val="000000"/>
          <w:sz w:val="24"/>
        </w:rPr>
        <w:t>中规定的所有与应用软件、技术开发及服务、软件的安装、调测、运行、维护和检验相关的文件。</w:t>
      </w:r>
    </w:p>
    <w:p w14:paraId="467CD0D8">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1.5“培训”：按合同约定，乙方为确保设计开发的应用软件能够充分适当地被甲方使用而向甲方提供的服务。</w:t>
      </w:r>
    </w:p>
    <w:p w14:paraId="3C1791B4">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1.6“服务”：按合同规定由乙方向甲方就所设计开发的应用软件做出的行为和担保。</w:t>
      </w:r>
    </w:p>
    <w:p w14:paraId="3EDCA2C1">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1.7“现场”：对应用软件进行安装和运行的场所。</w:t>
      </w:r>
    </w:p>
    <w:p w14:paraId="1E099C00">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1.8“初验”：甲方按照</w:t>
      </w:r>
      <w:r>
        <w:rPr>
          <w:rFonts w:hint="eastAsia" w:ascii="仿宋" w:hAnsi="仿宋" w:eastAsia="仿宋" w:cs="Times New Roman"/>
          <w:color w:val="000000"/>
          <w:sz w:val="24"/>
        </w:rPr>
        <w:t>附件二对应用软件按照测试规范进行测试和验证。合格后，甲方与乙方共同签署初验证书。</w:t>
      </w:r>
    </w:p>
    <w:p w14:paraId="639EF7E8">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1.9“移交”：乙方在约定时间内向甲方提交应用软件设计文件、开发各阶段文件及应用软件全部源代码</w:t>
      </w:r>
      <w:r>
        <w:rPr>
          <w:rFonts w:hint="eastAsia" w:ascii="仿宋" w:hAnsi="仿宋" w:eastAsia="仿宋" w:cs="Times New Roman"/>
          <w:color w:val="000000"/>
          <w:sz w:val="24"/>
        </w:rPr>
        <w:t>。</w:t>
      </w:r>
    </w:p>
    <w:p w14:paraId="17E85271">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1.10“试运行”：在初验合格后与最终验收之间的一段时间内，对应用软件进行运行，用来证明应用软件的指标是否达到了</w:t>
      </w:r>
      <w:r>
        <w:rPr>
          <w:rFonts w:hint="eastAsia" w:ascii="仿宋" w:hAnsi="仿宋" w:eastAsia="仿宋" w:cs="Times New Roman"/>
          <w:color w:val="000000"/>
          <w:sz w:val="24"/>
        </w:rPr>
        <w:t>附件二规定的所有要求。</w:t>
      </w:r>
    </w:p>
    <w:p w14:paraId="1FDFEC0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1.11“最终验收”或“终验”：甲方对应用软件按照</w:t>
      </w:r>
      <w:r>
        <w:rPr>
          <w:rFonts w:hint="eastAsia" w:ascii="仿宋" w:hAnsi="仿宋" w:eastAsia="仿宋" w:cs="Times New Roman"/>
          <w:color w:val="000000"/>
          <w:kern w:val="0"/>
          <w:sz w:val="24"/>
          <w:szCs w:val="20"/>
          <w:lang w:val="en-US" w:eastAsia="zh-CN" w:bidi="ar-SA"/>
        </w:rPr>
        <w:t>附件二进行最终验收。合格后，由甲乙双方共同签署终验证书。</w:t>
      </w:r>
    </w:p>
    <w:p w14:paraId="544D64F9">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1.12“保修期”：按照本合同约定，乙方提供对应用软件的免费修复、免费技术支持和服务、以及免费升级，以保证整个工程系统正常运行的时期。</w:t>
      </w:r>
    </w:p>
    <w:p w14:paraId="242B2672">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1.13“响应时间”：乙方就甲方提出的问题予以答复并提供可行性解决方案的时间。</w:t>
      </w:r>
    </w:p>
    <w:p w14:paraId="727F80CF">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1.14“一方”：</w:t>
      </w:r>
      <w:r>
        <w:rPr>
          <w:rFonts w:hint="eastAsia" w:ascii="仿宋" w:hAnsi="仿宋" w:eastAsia="仿宋" w:cs="Times New Roman"/>
          <w:color w:val="000000"/>
          <w:sz w:val="24"/>
        </w:rPr>
        <w:t>甲方或乙方。</w:t>
      </w:r>
    </w:p>
    <w:p w14:paraId="691C28D2">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1.15“双方”：</w:t>
      </w:r>
      <w:r>
        <w:rPr>
          <w:rFonts w:hint="eastAsia" w:ascii="仿宋" w:hAnsi="仿宋" w:eastAsia="仿宋" w:cs="Times New Roman"/>
          <w:color w:val="000000"/>
          <w:sz w:val="24"/>
        </w:rPr>
        <w:t>甲方和乙方。</w:t>
      </w:r>
    </w:p>
    <w:p w14:paraId="002BD4D2">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1.16“中国”：中华人民共和国，</w:t>
      </w:r>
      <w:r>
        <w:rPr>
          <w:rFonts w:hint="eastAsia" w:ascii="仿宋" w:hAnsi="仿宋" w:eastAsia="仿宋" w:cs="Times New Roman"/>
          <w:color w:val="000000"/>
          <w:sz w:val="24"/>
        </w:rPr>
        <w:t>为本合同之目的不包括香港特别</w:t>
      </w:r>
      <w:r>
        <w:rPr>
          <w:rFonts w:ascii="仿宋" w:hAnsi="仿宋" w:eastAsia="仿宋" w:cs="Times New Roman"/>
          <w:color w:val="000000"/>
          <w:sz w:val="24"/>
        </w:rPr>
        <w:t>行政区</w:t>
      </w:r>
      <w:r>
        <w:rPr>
          <w:rFonts w:hint="eastAsia" w:ascii="仿宋" w:hAnsi="仿宋" w:eastAsia="仿宋" w:cs="Times New Roman"/>
          <w:color w:val="000000"/>
          <w:sz w:val="24"/>
        </w:rPr>
        <w:t>、澳门特别</w:t>
      </w:r>
      <w:r>
        <w:rPr>
          <w:rFonts w:ascii="仿宋" w:hAnsi="仿宋" w:eastAsia="仿宋" w:cs="Times New Roman"/>
          <w:color w:val="000000"/>
          <w:sz w:val="24"/>
        </w:rPr>
        <w:t>行政区</w:t>
      </w:r>
      <w:r>
        <w:rPr>
          <w:rFonts w:hint="eastAsia" w:ascii="仿宋" w:hAnsi="仿宋" w:eastAsia="仿宋" w:cs="Times New Roman"/>
          <w:color w:val="000000"/>
          <w:sz w:val="24"/>
        </w:rPr>
        <w:t>和台湾地区。</w:t>
      </w:r>
    </w:p>
    <w:p w14:paraId="4A18B481">
      <w:pPr>
        <w:widowControl/>
        <w:autoSpaceDE w:val="0"/>
        <w:autoSpaceDN w:val="0"/>
        <w:spacing w:line="360" w:lineRule="exact"/>
        <w:ind w:firstLine="482" w:firstLineChars="200"/>
        <w:textAlignment w:val="bottom"/>
        <w:rPr>
          <w:rFonts w:ascii="仿宋" w:hAnsi="仿宋" w:eastAsia="仿宋" w:cs="Times New Roman"/>
          <w:b/>
          <w:color w:val="000000"/>
          <w:sz w:val="24"/>
        </w:rPr>
      </w:pPr>
      <w:r>
        <w:rPr>
          <w:rFonts w:hint="eastAsia" w:ascii="仿宋" w:hAnsi="仿宋" w:eastAsia="仿宋" w:cs="Times New Roman"/>
          <w:b/>
          <w:color w:val="000000"/>
          <w:sz w:val="24"/>
        </w:rPr>
        <w:t>第二条</w:t>
      </w:r>
      <w:bookmarkStart w:id="1531" w:name="_Toc33253829"/>
      <w:r>
        <w:rPr>
          <w:rFonts w:hint="eastAsia" w:ascii="仿宋" w:hAnsi="仿宋" w:eastAsia="仿宋" w:cs="Times New Roman"/>
          <w:b/>
          <w:color w:val="000000"/>
          <w:sz w:val="24"/>
        </w:rPr>
        <w:t>合同标的</w:t>
      </w:r>
      <w:bookmarkEnd w:id="1531"/>
    </w:p>
    <w:p w14:paraId="1C537C7B">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2.1甲方委托乙方为</w:t>
      </w:r>
      <w:r>
        <w:rPr>
          <w:rFonts w:hint="eastAsia" w:ascii="仿宋" w:hAnsi="仿宋" w:eastAsia="仿宋" w:cs="Times New Roman"/>
          <w:color w:val="000000"/>
          <w:sz w:val="24"/>
          <w:lang w:eastAsia="zh-CN"/>
        </w:rPr>
        <w:t>2025年中国电信遵义分公司湄潭县中西医结合医院床旁结算系统开发服务采购</w:t>
      </w:r>
      <w:r>
        <w:rPr>
          <w:rFonts w:ascii="仿宋" w:hAnsi="仿宋" w:eastAsia="仿宋" w:cs="Times New Roman"/>
          <w:color w:val="000000"/>
          <w:sz w:val="24"/>
        </w:rPr>
        <w:t>工程开发“[</w:t>
      </w:r>
      <w:r>
        <w:rPr>
          <w:rFonts w:hint="eastAsia" w:ascii="仿宋" w:hAnsi="仿宋" w:eastAsia="仿宋" w:cs="Times New Roman"/>
          <w:color w:val="000000"/>
          <w:sz w:val="24"/>
        </w:rPr>
        <w:t>床旁结算系统</w:t>
      </w:r>
      <w:r>
        <w:rPr>
          <w:rFonts w:ascii="仿宋" w:hAnsi="仿宋" w:eastAsia="仿宋" w:cs="Times New Roman"/>
          <w:color w:val="000000"/>
          <w:sz w:val="24"/>
        </w:rPr>
        <w:t>]工程软件”</w:t>
      </w:r>
      <w:r>
        <w:rPr>
          <w:rFonts w:hint="eastAsia" w:ascii="仿宋" w:hAnsi="仿宋" w:eastAsia="仿宋" w:cs="Times New Roman"/>
          <w:color w:val="000000"/>
          <w:sz w:val="24"/>
        </w:rPr>
        <w:t>（即应用软件），乙方负责完成应用软件的设计开发、移交、培训及相关其他服务工作，并保证该应用软件满足本合同及附件提出的所有要求。</w:t>
      </w:r>
    </w:p>
    <w:p w14:paraId="2DC834D5">
      <w:pPr>
        <w:widowControl/>
        <w:autoSpaceDE w:val="0"/>
        <w:autoSpaceDN w:val="0"/>
        <w:spacing w:line="360" w:lineRule="exact"/>
        <w:ind w:firstLine="480" w:firstLineChars="200"/>
        <w:textAlignment w:val="bottom"/>
        <w:rPr>
          <w:rFonts w:ascii="仿宋" w:hAnsi="仿宋" w:eastAsia="仿宋" w:cs="Times New Roman"/>
          <w:color w:val="000000"/>
          <w:sz w:val="24"/>
        </w:rPr>
      </w:pPr>
      <w:r>
        <w:rPr>
          <w:rFonts w:ascii="仿宋" w:hAnsi="仿宋" w:eastAsia="仿宋" w:cs="Times New Roman"/>
          <w:color w:val="000000"/>
          <w:sz w:val="24"/>
        </w:rPr>
        <w:t>2.2乙方承诺，为完成本合同约定事项，乙方已从系统软件权利人处取得系统软件的许可使用权（或乙方为系统软件的著作权人），并有权许可</w:t>
      </w:r>
      <w:r>
        <w:rPr>
          <w:rFonts w:hint="eastAsia" w:ascii="仿宋" w:hAnsi="仿宋" w:eastAsia="仿宋" w:cs="Times New Roman"/>
          <w:color w:val="000000"/>
          <w:sz w:val="24"/>
        </w:rPr>
        <w:t>甲方或甲方指定的第三方使用并用于应用软件，且该授权长期合法有效并能够满足本项目需要。乙方保证系统软件及软件介质能够满足甲方要求并不存在任何权利瑕疵和质量瑕疵。乙方提供软件与服务应当符合网络安全等相关国家标准的强制性要求，不得设置恶意程序；如发现软件、服务存在安全缺陷、漏洞等风险时，乙方应当立即采取补救措施。乙方应当为其软件、服务持续提供安全维护。</w:t>
      </w:r>
    </w:p>
    <w:p w14:paraId="78C523C4">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4"/>
          <w:lang w:val="en-US" w:eastAsia="zh-CN" w:bidi="ar-SA"/>
        </w:rPr>
        <w:t>2.3</w:t>
      </w:r>
      <w:r>
        <w:rPr>
          <w:rFonts w:hint="eastAsia" w:ascii="仿宋" w:hAnsi="仿宋" w:eastAsia="仿宋" w:cs="Times New Roman"/>
          <w:color w:val="000000"/>
          <w:kern w:val="0"/>
          <w:sz w:val="24"/>
          <w:szCs w:val="20"/>
          <w:lang w:val="en-US" w:eastAsia="zh-CN" w:bidi="ar-SA"/>
        </w:rPr>
        <w:t>乙方</w:t>
      </w:r>
      <w:r>
        <w:rPr>
          <w:rFonts w:hint="eastAsia" w:ascii="仿宋" w:hAnsi="仿宋" w:eastAsia="仿宋" w:cs="Times New Roman"/>
          <w:color w:val="000000"/>
          <w:kern w:val="2"/>
          <w:sz w:val="24"/>
          <w:szCs w:val="24"/>
          <w:lang w:val="en-US" w:eastAsia="zh-CN" w:bidi="ar-SA"/>
        </w:rPr>
        <w:t>应按本合同附件二的约定将应用软件移交给甲方。</w:t>
      </w:r>
      <w:r>
        <w:rPr>
          <w:rFonts w:ascii="仿宋" w:hAnsi="仿宋" w:eastAsia="仿宋" w:cs="Times New Roman"/>
          <w:color w:val="000000"/>
          <w:kern w:val="2"/>
          <w:sz w:val="24"/>
          <w:szCs w:val="20"/>
          <w:lang w:val="en-US" w:eastAsia="zh-CN" w:bidi="ar-SA"/>
        </w:rPr>
        <w:t>乙</w:t>
      </w:r>
      <w:r>
        <w:rPr>
          <w:rFonts w:ascii="仿宋" w:hAnsi="仿宋" w:eastAsia="仿宋" w:cs="Times New Roman"/>
          <w:color w:val="000000"/>
          <w:kern w:val="0"/>
          <w:sz w:val="24"/>
          <w:szCs w:val="20"/>
          <w:lang w:val="en-US" w:eastAsia="zh-CN" w:bidi="ar-SA"/>
        </w:rPr>
        <w:t>方向甲方移交应用软件的同时提供完整、准确的技术文件</w:t>
      </w:r>
      <w:r>
        <w:rPr>
          <w:rFonts w:hint="eastAsia" w:ascii="仿宋" w:hAnsi="仿宋" w:eastAsia="仿宋" w:cs="Times New Roman"/>
          <w:color w:val="000000"/>
          <w:kern w:val="0"/>
          <w:sz w:val="24"/>
          <w:szCs w:val="20"/>
          <w:lang w:val="en-US" w:eastAsia="zh-CN" w:bidi="ar-SA"/>
        </w:rPr>
        <w:t>。</w:t>
      </w:r>
    </w:p>
    <w:p w14:paraId="42D635E5">
      <w:pPr>
        <w:spacing w:line="360" w:lineRule="exact"/>
        <w:ind w:firstLine="480" w:firstLineChars="200"/>
        <w:rPr>
          <w:rFonts w:ascii="仿宋" w:hAnsi="仿宋" w:eastAsia="仿宋" w:cs="Times New Roman"/>
          <w:color w:val="000000"/>
        </w:rPr>
      </w:pPr>
      <w:r>
        <w:rPr>
          <w:rFonts w:ascii="仿宋" w:hAnsi="仿宋" w:eastAsia="仿宋" w:cs="Times New Roman"/>
          <w:color w:val="000000"/>
          <w:kern w:val="0"/>
          <w:sz w:val="24"/>
        </w:rPr>
        <w:t xml:space="preserve">2.4 </w:t>
      </w:r>
      <w:r>
        <w:rPr>
          <w:rFonts w:hint="eastAsia" w:ascii="仿宋" w:hAnsi="仿宋" w:eastAsia="仿宋" w:cs="Times New Roman"/>
          <w:color w:val="000000"/>
          <w:kern w:val="0"/>
          <w:sz w:val="24"/>
        </w:rPr>
        <w:t>未</w:t>
      </w:r>
      <w:r>
        <w:rPr>
          <w:rFonts w:ascii="仿宋" w:hAnsi="仿宋" w:eastAsia="仿宋" w:cs="Times New Roman"/>
          <w:color w:val="000000"/>
          <w:kern w:val="0"/>
          <w:sz w:val="24"/>
        </w:rPr>
        <w:t>经甲方书面同意，乙方不得将合同分包或转包给第三方。在向甲方交付应用软件之前，乙方不得将应用软件转让给第三方或交第三方使用。</w:t>
      </w:r>
    </w:p>
    <w:p w14:paraId="60989987">
      <w:pPr>
        <w:widowControl/>
        <w:autoSpaceDE w:val="0"/>
        <w:autoSpaceDN w:val="0"/>
        <w:spacing w:line="360" w:lineRule="exact"/>
        <w:ind w:firstLine="482" w:firstLineChars="200"/>
        <w:textAlignment w:val="bottom"/>
        <w:rPr>
          <w:rFonts w:ascii="仿宋" w:hAnsi="仿宋" w:eastAsia="仿宋" w:cs="Times New Roman"/>
          <w:color w:val="000000"/>
          <w:sz w:val="24"/>
        </w:rPr>
      </w:pPr>
      <w:bookmarkStart w:id="1532" w:name="_Toc33253830"/>
      <w:r>
        <w:rPr>
          <w:rFonts w:hint="eastAsia" w:ascii="仿宋" w:hAnsi="仿宋" w:eastAsia="仿宋" w:cs="Times New Roman"/>
          <w:b/>
          <w:color w:val="000000"/>
          <w:sz w:val="24"/>
        </w:rPr>
        <w:t>第三条合同价格</w:t>
      </w:r>
      <w:bookmarkEnd w:id="1532"/>
    </w:p>
    <w:p w14:paraId="48568674">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3.1本合同总价（含税价）：</w:t>
      </w:r>
      <w:r>
        <w:rPr>
          <w:rFonts w:hint="eastAsia" w:ascii="仿宋" w:hAnsi="仿宋" w:eastAsia="仿宋" w:cs="Times New Roman"/>
          <w:color w:val="000000"/>
          <w:kern w:val="0"/>
          <w:sz w:val="24"/>
          <w:szCs w:val="20"/>
          <w:lang w:val="en-US" w:eastAsia="zh-CN" w:bidi="ar-SA"/>
        </w:rPr>
        <w:t>大写人民币</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r>
        <w:rPr>
          <w:rFonts w:ascii="Calibri" w:hAnsi="Calibri" w:eastAsia="仿宋" w:cs="Calibri"/>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]；其中价款为大写人民币[</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r>
        <w:rPr>
          <w:rFonts w:ascii="Calibri" w:hAnsi="Calibri" w:eastAsia="仿宋" w:cs="Calibri"/>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]，增值税款为大写人民币[</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r>
        <w:rPr>
          <w:rFonts w:ascii="Calibri" w:hAnsi="Calibri" w:eastAsia="仿宋" w:cs="Calibri"/>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w:t>
      </w:r>
      <w:r>
        <w:rPr>
          <w:rFonts w:hint="eastAsia" w:ascii="仿宋" w:hAnsi="仿宋" w:eastAsia="仿宋" w:cs="仿宋"/>
          <w:kern w:val="0"/>
          <w:sz w:val="24"/>
          <w:szCs w:val="20"/>
          <w:lang w:val="en-US" w:eastAsia="zh-CN" w:bidi="ar-SA"/>
        </w:rPr>
        <w:t>税率为</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r>
        <w:rPr>
          <w:rFonts w:hint="eastAsia" w:ascii="仿宋" w:hAnsi="仿宋" w:eastAsia="仿宋" w:cs="仿宋"/>
          <w:kern w:val="0"/>
          <w:sz w:val="24"/>
          <w:szCs w:val="20"/>
          <w:lang w:val="en-US" w:eastAsia="zh-CN" w:bidi="ar-SA"/>
        </w:rPr>
        <w:t>%</w:t>
      </w:r>
      <w:r>
        <w:rPr>
          <w:rFonts w:hint="eastAsia" w:ascii="仿宋" w:hAnsi="仿宋" w:eastAsia="仿宋" w:cs="Times New Roman"/>
          <w:kern w:val="0"/>
          <w:sz w:val="24"/>
          <w:szCs w:val="20"/>
          <w:lang w:val="en-US" w:eastAsia="zh-CN" w:bidi="ar-SA"/>
        </w:rPr>
        <w:t>。</w:t>
      </w:r>
    </w:p>
    <w:p w14:paraId="1E47C757">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3.2合同总价包括：</w:t>
      </w:r>
    </w:p>
    <w:p w14:paraId="57A9430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1）由乙方根据本合同开发应用软件的费用。</w:t>
      </w:r>
    </w:p>
    <w:p w14:paraId="4FD4E082">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2）甲方获得系统软件许可使用的费用。</w:t>
      </w:r>
    </w:p>
    <w:p w14:paraId="585858BB">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3）根据本合同甲方获得应用软件的费用。</w:t>
      </w:r>
    </w:p>
    <w:p w14:paraId="67E8DC0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4）乙方应缴纳的所有税费。</w:t>
      </w:r>
    </w:p>
    <w:p w14:paraId="16837EAE">
      <w:pPr>
        <w:widowControl w:val="0"/>
        <w:spacing w:before="0" w:beforeAutospacing="0" w:after="0" w:afterAutospacing="0" w:line="360" w:lineRule="exact"/>
        <w:ind w:firstLine="480" w:firstLineChars="200"/>
        <w:jc w:val="both"/>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lang w:val="en-US" w:eastAsia="zh-CN" w:bidi="ar-SA"/>
        </w:rPr>
        <w:t>（</w:t>
      </w:r>
      <w:r>
        <w:rPr>
          <w:rFonts w:ascii="仿宋" w:hAnsi="仿宋" w:eastAsia="仿宋" w:cs="宋体"/>
          <w:color w:val="000000"/>
          <w:kern w:val="0"/>
          <w:sz w:val="24"/>
          <w:szCs w:val="24"/>
          <w:lang w:val="en-US" w:eastAsia="zh-CN" w:bidi="ar-SA"/>
        </w:rPr>
        <w:t>5）由乙方根据本合同向甲方提供培训的费用。</w:t>
      </w:r>
    </w:p>
    <w:p w14:paraId="55F3A094">
      <w:pPr>
        <w:widowControl w:val="0"/>
        <w:spacing w:before="0" w:beforeAutospacing="0" w:after="0" w:afterAutospacing="0" w:line="360" w:lineRule="exact"/>
        <w:ind w:firstLine="480" w:firstLineChars="200"/>
        <w:jc w:val="both"/>
        <w:rPr>
          <w:rFonts w:ascii="仿宋" w:hAnsi="仿宋" w:eastAsia="仿宋" w:cs="宋体"/>
          <w:color w:val="000000"/>
          <w:kern w:val="0"/>
          <w:sz w:val="24"/>
          <w:szCs w:val="24"/>
          <w:lang w:val="en-US" w:eastAsia="zh-CN" w:bidi="ar-SA"/>
        </w:rPr>
      </w:pPr>
      <w:r>
        <w:rPr>
          <w:rFonts w:hint="eastAsia" w:ascii="仿宋" w:hAnsi="仿宋" w:eastAsia="仿宋" w:cs="宋体"/>
          <w:color w:val="000000"/>
          <w:kern w:val="0"/>
          <w:sz w:val="24"/>
          <w:szCs w:val="24"/>
          <w:lang w:val="en-US" w:eastAsia="zh-CN" w:bidi="ar-SA"/>
        </w:rPr>
        <w:t>（</w:t>
      </w:r>
      <w:r>
        <w:rPr>
          <w:rFonts w:ascii="仿宋" w:hAnsi="仿宋" w:eastAsia="仿宋" w:cs="宋体"/>
          <w:color w:val="000000"/>
          <w:kern w:val="0"/>
          <w:sz w:val="24"/>
          <w:szCs w:val="24"/>
          <w:lang w:val="en-US" w:eastAsia="zh-CN" w:bidi="ar-SA"/>
        </w:rPr>
        <w:t>6）乙方申请技术服务合同登记的费用。</w:t>
      </w:r>
    </w:p>
    <w:p w14:paraId="014CC378">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7）</w:t>
      </w:r>
      <w:r>
        <w:rPr>
          <w:rFonts w:hint="eastAsia" w:ascii="仿宋" w:hAnsi="仿宋" w:eastAsia="仿宋" w:cs="Times New Roman"/>
          <w:color w:val="000000"/>
          <w:kern w:val="0"/>
          <w:sz w:val="24"/>
          <w:szCs w:val="20"/>
          <w:lang w:val="en-US" w:eastAsia="zh-CN" w:bidi="ar-SA"/>
        </w:rPr>
        <w:t>甲方就乙方履行本合同所应支付的一切其他费用。</w:t>
      </w:r>
    </w:p>
    <w:p w14:paraId="51BFAC24">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除另有约定外，甲方无需就本合同项下委托事项向乙方支付上述费用之外的任何其他费用及税费。因国家税收政策导致增值税率变化的，本合同价款（不含税价）不变，增值税税款及合同总价（含税价）相应变更。</w:t>
      </w:r>
    </w:p>
    <w:p w14:paraId="1F702A47">
      <w:pPr>
        <w:widowControl/>
        <w:autoSpaceDE w:val="0"/>
        <w:autoSpaceDN w:val="0"/>
        <w:spacing w:line="360" w:lineRule="exact"/>
        <w:ind w:firstLine="482" w:firstLineChars="200"/>
        <w:textAlignment w:val="bottom"/>
        <w:rPr>
          <w:rFonts w:ascii="仿宋" w:hAnsi="仿宋" w:eastAsia="仿宋" w:cs="Times New Roman"/>
          <w:b/>
          <w:color w:val="000000"/>
          <w:sz w:val="24"/>
        </w:rPr>
      </w:pPr>
      <w:r>
        <w:rPr>
          <w:rFonts w:hint="eastAsia" w:ascii="仿宋" w:hAnsi="仿宋" w:eastAsia="仿宋" w:cs="Times New Roman"/>
          <w:b/>
          <w:color w:val="000000"/>
          <w:sz w:val="24"/>
        </w:rPr>
        <w:t>第四条支付</w:t>
      </w:r>
    </w:p>
    <w:p w14:paraId="5597D4B1">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4.1合同总价的所有支付由甲方以[银行转账]方式</w:t>
      </w:r>
      <w:r>
        <w:rPr>
          <w:rFonts w:hint="eastAsia" w:ascii="仿宋" w:hAnsi="仿宋" w:eastAsia="仿宋" w:cs="Times New Roman"/>
          <w:color w:val="000000"/>
          <w:kern w:val="0"/>
          <w:sz w:val="24"/>
          <w:szCs w:val="20"/>
          <w:lang w:val="en-US" w:eastAsia="zh-CN" w:bidi="ar-SA"/>
        </w:rPr>
        <w:t>付至乙方。甲乙双方银行账户信息和纳税人信息：</w:t>
      </w:r>
    </w:p>
    <w:p w14:paraId="2E01662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开户行：[</w:t>
      </w:r>
      <w:r>
        <w:rPr>
          <w:rFonts w:hint="eastAsia" w:ascii="仿宋" w:hAnsi="仿宋" w:eastAsia="仿宋" w:cs="Times New Roman"/>
          <w:sz w:val="24"/>
          <w:szCs w:val="24"/>
        </w:rPr>
        <w:t>中国建设银行股份有限公司遵义湘江支行</w:t>
      </w:r>
      <w:r>
        <w:rPr>
          <w:rFonts w:hint="eastAsia" w:ascii="仿宋" w:hAnsi="仿宋" w:eastAsia="仿宋" w:cs="Times New Roman"/>
          <w:sz w:val="24"/>
        </w:rPr>
        <w:t>]</w:t>
      </w:r>
    </w:p>
    <w:p w14:paraId="051A0F1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银行地址：[</w:t>
      </w:r>
      <w:r>
        <w:rPr>
          <w:rFonts w:hint="eastAsia" w:ascii="仿宋" w:hAnsi="仿宋" w:eastAsia="仿宋" w:cs="仿宋"/>
          <w:kern w:val="0"/>
          <w:sz w:val="24"/>
        </w:rPr>
        <w:t>贵州省遵义市中山路</w:t>
      </w:r>
      <w:r>
        <w:rPr>
          <w:rFonts w:hint="eastAsia" w:ascii="仿宋" w:hAnsi="仿宋" w:eastAsia="仿宋" w:cs="Times New Roman"/>
          <w:sz w:val="24"/>
        </w:rPr>
        <w:t>]</w:t>
      </w:r>
    </w:p>
    <w:p w14:paraId="1D1BE02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户名：[</w:t>
      </w:r>
      <w:r>
        <w:rPr>
          <w:rFonts w:hint="eastAsia" w:ascii="仿宋" w:hAnsi="仿宋" w:eastAsia="仿宋" w:cs="仿宋"/>
          <w:kern w:val="0"/>
          <w:sz w:val="24"/>
        </w:rPr>
        <w:t>中国电信股份有限公司遵义分公司</w:t>
      </w:r>
      <w:r>
        <w:rPr>
          <w:rFonts w:hint="eastAsia" w:ascii="仿宋" w:hAnsi="仿宋" w:eastAsia="仿宋" w:cs="Times New Roman"/>
          <w:sz w:val="24"/>
        </w:rPr>
        <w:t>]</w:t>
      </w:r>
    </w:p>
    <w:p w14:paraId="34283F4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账号：[</w:t>
      </w:r>
      <w:r>
        <w:rPr>
          <w:rFonts w:hint="eastAsia" w:ascii="仿宋" w:hAnsi="仿宋" w:eastAsia="仿宋" w:cs="仿宋"/>
          <w:kern w:val="0"/>
          <w:sz w:val="24"/>
        </w:rPr>
        <w:t>52001624036050001932</w:t>
      </w:r>
      <w:r>
        <w:rPr>
          <w:rFonts w:hint="eastAsia" w:ascii="仿宋" w:hAnsi="仿宋" w:eastAsia="仿宋" w:cs="Times New Roman"/>
          <w:sz w:val="24"/>
        </w:rPr>
        <w:t>]</w:t>
      </w:r>
    </w:p>
    <w:p w14:paraId="7131BC4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统一社会信用代码：[</w:t>
      </w:r>
      <w:r>
        <w:rPr>
          <w:rFonts w:hint="eastAsia" w:ascii="仿宋" w:hAnsi="仿宋" w:eastAsia="仿宋" w:cs="仿宋"/>
          <w:kern w:val="0"/>
          <w:sz w:val="24"/>
        </w:rPr>
        <w:t>91520300709516549G</w:t>
      </w:r>
      <w:r>
        <w:rPr>
          <w:rFonts w:hint="eastAsia" w:ascii="仿宋" w:hAnsi="仿宋" w:eastAsia="仿宋" w:cs="Times New Roman"/>
          <w:sz w:val="24"/>
        </w:rPr>
        <w:t>]</w:t>
      </w:r>
    </w:p>
    <w:p w14:paraId="323E2D5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地址：[</w:t>
      </w:r>
      <w:r>
        <w:rPr>
          <w:rFonts w:hint="eastAsia" w:ascii="仿宋" w:hAnsi="仿宋" w:eastAsia="仿宋" w:cs="仿宋"/>
          <w:kern w:val="0"/>
          <w:sz w:val="24"/>
        </w:rPr>
        <w:t>贵州省遵义市红花岗区大兴路26号</w:t>
      </w:r>
      <w:r>
        <w:rPr>
          <w:rFonts w:hint="eastAsia" w:ascii="仿宋" w:hAnsi="仿宋" w:eastAsia="仿宋" w:cs="Times New Roman"/>
          <w:sz w:val="24"/>
        </w:rPr>
        <w:t>]</w:t>
      </w:r>
    </w:p>
    <w:p w14:paraId="55062386">
      <w:pPr>
        <w:spacing w:line="360" w:lineRule="exact"/>
        <w:ind w:firstLine="480" w:firstLineChars="200"/>
        <w:rPr>
          <w:rFonts w:hint="eastAsia" w:ascii="仿宋" w:hAnsi="仿宋" w:eastAsia="仿宋" w:cs="Times New Roman"/>
          <w:color w:val="FF0000"/>
          <w:sz w:val="24"/>
          <w:highlight w:val="none"/>
        </w:rPr>
      </w:pPr>
      <w:r>
        <w:rPr>
          <w:rFonts w:hint="eastAsia" w:ascii="仿宋" w:hAnsi="仿宋" w:eastAsia="仿宋" w:cs="Times New Roman"/>
          <w:sz w:val="24"/>
        </w:rPr>
        <w:t>电话</w:t>
      </w:r>
      <w:r>
        <w:rPr>
          <w:rFonts w:hint="eastAsia" w:ascii="仿宋" w:hAnsi="仿宋" w:eastAsia="仿宋" w:cs="Times New Roman"/>
          <w:sz w:val="24"/>
          <w:highlight w:val="none"/>
        </w:rPr>
        <w:t>：</w:t>
      </w:r>
      <w:r>
        <w:rPr>
          <w:rFonts w:hint="eastAsia" w:ascii="仿宋" w:hAnsi="仿宋" w:eastAsia="仿宋" w:cs="Times New Roman"/>
          <w:color w:val="auto"/>
          <w:sz w:val="24"/>
          <w:highlight w:val="none"/>
        </w:rPr>
        <w:t>[</w:t>
      </w:r>
      <w:r>
        <w:rPr>
          <w:rFonts w:hint="eastAsia" w:ascii="仿宋" w:hAnsi="仿宋" w:eastAsia="仿宋" w:cs="仿宋"/>
          <w:color w:val="auto"/>
          <w:kern w:val="0"/>
          <w:sz w:val="24"/>
          <w:highlight w:val="none"/>
          <w:lang w:val="en-US" w:eastAsia="zh-CN"/>
        </w:rPr>
        <w:t>/</w:t>
      </w:r>
      <w:r>
        <w:rPr>
          <w:rFonts w:hint="eastAsia" w:ascii="仿宋" w:hAnsi="仿宋" w:eastAsia="仿宋" w:cs="Times New Roman"/>
          <w:color w:val="auto"/>
          <w:sz w:val="24"/>
          <w:highlight w:val="none"/>
        </w:rPr>
        <w:t>]</w:t>
      </w:r>
    </w:p>
    <w:p w14:paraId="5B764655">
      <w:pPr>
        <w:spacing w:line="360" w:lineRule="exact"/>
        <w:ind w:firstLine="480" w:firstLineChars="200"/>
        <w:rPr>
          <w:rFonts w:ascii="Times New Roman" w:hAnsi="Times New Roman" w:eastAsia="宋体" w:cs="Times New Roman"/>
        </w:rPr>
      </w:pPr>
      <w:r>
        <w:rPr>
          <w:rFonts w:hint="eastAsia" w:ascii="仿宋" w:hAnsi="仿宋" w:eastAsia="仿宋" w:cs="Times New Roman"/>
          <w:color w:val="000000"/>
          <w:sz w:val="24"/>
        </w:rPr>
        <w:t>乙方信息如下：</w:t>
      </w:r>
    </w:p>
    <w:p w14:paraId="4C5C6EC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开户行：</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w:t>
      </w:r>
    </w:p>
    <w:p w14:paraId="04DD1E2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银行地址：</w:t>
      </w:r>
      <w:r>
        <w:rPr>
          <w:rFonts w:ascii="仿宋" w:hAnsi="仿宋" w:eastAsia="仿宋" w:cs="Times New Roman"/>
          <w:color w:val="000000"/>
          <w:sz w:val="24"/>
        </w:rPr>
        <w:t>[</w:t>
      </w:r>
      <w:r>
        <w:rPr>
          <w:rFonts w:hint="eastAsia" w:ascii="仿宋" w:hAnsi="仿宋" w:eastAsia="仿宋" w:cs="仿宋"/>
          <w:i w:val="0"/>
          <w:iCs w:val="0"/>
          <w:caps w:val="0"/>
          <w:color w:val="333333"/>
          <w:spacing w:val="0"/>
          <w:sz w:val="24"/>
          <w:szCs w:val="24"/>
          <w:shd w:val="clear" w:color="auto" w:fill="FFFFFF"/>
          <w:lang w:val="en-US" w:eastAsia="zh-CN"/>
        </w:rPr>
        <w:t xml:space="preserve">     </w:t>
      </w:r>
      <w:r>
        <w:rPr>
          <w:rFonts w:ascii="仿宋" w:hAnsi="仿宋" w:eastAsia="仿宋" w:cs="Times New Roman"/>
          <w:color w:val="000000"/>
          <w:sz w:val="24"/>
        </w:rPr>
        <w:t>]</w:t>
      </w:r>
    </w:p>
    <w:p w14:paraId="732433B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户名：</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w:t>
      </w:r>
    </w:p>
    <w:p w14:paraId="5E74FAE3">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账号：</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w:t>
      </w:r>
    </w:p>
    <w:p w14:paraId="60C05C0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统一社会信用代码：</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w:t>
      </w:r>
    </w:p>
    <w:p w14:paraId="0D9C37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地址：</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w:t>
      </w:r>
    </w:p>
    <w:p w14:paraId="6922957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电话：</w:t>
      </w:r>
      <w:r>
        <w:rPr>
          <w:rFonts w:ascii="仿宋" w:hAnsi="仿宋" w:eastAsia="仿宋" w:cs="Times New Roman"/>
          <w:color w:val="000000"/>
          <w:sz w:val="24"/>
        </w:rPr>
        <w:t>[</w:t>
      </w:r>
      <w:r>
        <w:rPr>
          <w:rFonts w:hint="eastAsia" w:ascii="仿宋" w:hAnsi="仿宋" w:eastAsia="仿宋" w:cs="仿宋"/>
          <w:kern w:val="0"/>
          <w:sz w:val="24"/>
          <w:lang w:val="en-US" w:eastAsia="zh-CN"/>
        </w:rPr>
        <w:t xml:space="preserve">      </w:t>
      </w:r>
      <w:r>
        <w:rPr>
          <w:rFonts w:ascii="仿宋" w:hAnsi="仿宋" w:eastAsia="仿宋" w:cs="Times New Roman"/>
          <w:color w:val="000000"/>
          <w:sz w:val="24"/>
        </w:rPr>
        <w:t xml:space="preserve">] </w:t>
      </w:r>
    </w:p>
    <w:p w14:paraId="1875BAA6">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4.2</w:t>
      </w:r>
      <w:r>
        <w:rPr>
          <w:rFonts w:hint="eastAsia" w:ascii="仿宋" w:hAnsi="仿宋" w:eastAsia="仿宋" w:cs="Times New Roman"/>
          <w:color w:val="000000"/>
          <w:kern w:val="0"/>
          <w:sz w:val="24"/>
          <w:szCs w:val="20"/>
          <w:lang w:val="en-US" w:eastAsia="zh-CN" w:bidi="ar-SA"/>
        </w:rPr>
        <w:t>甲方按照以下条款向乙方支付合同总价：</w:t>
      </w:r>
    </w:p>
    <w:p w14:paraId="6CF3C2C1">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甲乙双方签订合同，乙方完成所有移动支付服务工作 ，验收合格后乙方提供以下材料后30个工作日内支付合同金额97%的款项。计大写人民币[    ]，¥[    ]：</w:t>
      </w:r>
    </w:p>
    <w:p w14:paraId="53B94AC3">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（1）相应金额的、符合国家规定的增值税专用发票</w:t>
      </w:r>
    </w:p>
    <w:p w14:paraId="6F4656B5">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（2）项目验收报告原件一份。</w:t>
      </w:r>
    </w:p>
    <w:p w14:paraId="7A7CCE55">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（3）付款通知书，原件一份。</w:t>
      </w:r>
    </w:p>
    <w:p w14:paraId="7B01B9A6">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验收合格之日起满一年后无质量问题，甲方收到乙方提供以下材料后30个工作日内支付剩下3%的款项:计大写人民币[    ]，¥[    ]：</w:t>
      </w:r>
    </w:p>
    <w:p w14:paraId="532DC89C">
      <w:pPr>
        <w:widowControl w:val="0"/>
        <w:spacing w:line="360" w:lineRule="exact"/>
        <w:ind w:firstLine="480" w:firstLineChars="200"/>
        <w:jc w:val="both"/>
        <w:rPr>
          <w:rFonts w:hint="eastAsia" w:ascii="仿宋" w:hAnsi="仿宋" w:eastAsia="仿宋" w:cs="Times New Roman"/>
          <w:color w:val="000000"/>
          <w:kern w:val="2"/>
          <w:sz w:val="24"/>
          <w:szCs w:val="20"/>
          <w:lang w:val="en-US" w:eastAsia="zh-CN" w:bidi="ar-SA"/>
        </w:rPr>
      </w:pPr>
      <w:r>
        <w:rPr>
          <w:rFonts w:hint="eastAsia" w:ascii="仿宋" w:hAnsi="仿宋" w:eastAsia="仿宋" w:cs="Times New Roman"/>
          <w:color w:val="000000"/>
          <w:kern w:val="2"/>
          <w:sz w:val="24"/>
          <w:szCs w:val="20"/>
          <w:lang w:val="en-US" w:eastAsia="zh-CN" w:bidi="ar-SA"/>
        </w:rPr>
        <w:t>（1）付款通知书，原件一份。</w:t>
      </w:r>
    </w:p>
    <w:p w14:paraId="56D40AC2">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2"/>
          <w:sz w:val="24"/>
          <w:szCs w:val="20"/>
          <w:lang w:val="en-US" w:eastAsia="zh-CN" w:bidi="ar-SA"/>
        </w:rPr>
        <w:t>（2）相应金额的、符合国家规定的增值税专用发票。</w:t>
      </w:r>
    </w:p>
    <w:p w14:paraId="2A132B66">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4.3乙方向甲方开具增值税专用发票的，乙方</w:t>
      </w:r>
      <w:r>
        <w:rPr>
          <w:rFonts w:ascii="仿宋" w:hAnsi="仿宋" w:eastAsia="仿宋" w:cs="Times New Roman"/>
          <w:color w:val="000000"/>
          <w:kern w:val="0"/>
          <w:sz w:val="24"/>
          <w:szCs w:val="24"/>
          <w:lang w:val="en-US" w:eastAsia="zh-CN" w:bidi="ar-SA"/>
        </w:rPr>
        <w:t>应</w:t>
      </w:r>
      <w:r>
        <w:rPr>
          <w:rFonts w:hint="eastAsia" w:ascii="仿宋" w:hAnsi="仿宋" w:eastAsia="仿宋" w:cs="Times New Roman"/>
          <w:color w:val="000000"/>
          <w:kern w:val="0"/>
          <w:sz w:val="24"/>
          <w:szCs w:val="24"/>
          <w:lang w:val="en-US" w:eastAsia="zh-CN" w:bidi="ar-SA"/>
        </w:rPr>
        <w:t>当</w:t>
      </w:r>
      <w:r>
        <w:rPr>
          <w:rFonts w:ascii="仿宋" w:hAnsi="仿宋" w:eastAsia="仿宋" w:cs="Times New Roman"/>
          <w:color w:val="000000"/>
          <w:kern w:val="0"/>
          <w:sz w:val="24"/>
          <w:szCs w:val="20"/>
          <w:lang w:val="en-US" w:eastAsia="zh-CN" w:bidi="ar-SA"/>
        </w:rPr>
        <w:t>派专人或使用挂号信件或特快专递方式在发票开具后</w:t>
      </w:r>
      <w:r>
        <w:rPr>
          <w:rFonts w:hint="eastAsia" w:ascii="仿宋" w:hAnsi="仿宋" w:eastAsia="仿宋" w:cs="Times New Roman"/>
          <w:color w:val="000000"/>
          <w:kern w:val="0"/>
          <w:sz w:val="24"/>
          <w:szCs w:val="24"/>
          <w:lang w:val="en-US" w:eastAsia="zh-CN" w:bidi="ar-SA"/>
        </w:rPr>
        <w:t>三十</w:t>
      </w:r>
      <w:r>
        <w:rPr>
          <w:rFonts w:ascii="仿宋" w:hAnsi="仿宋" w:eastAsia="仿宋" w:cs="Times New Roman"/>
          <w:color w:val="000000"/>
          <w:kern w:val="0"/>
          <w:sz w:val="24"/>
          <w:szCs w:val="20"/>
          <w:lang w:val="en-US" w:eastAsia="zh-CN" w:bidi="ar-SA"/>
        </w:rPr>
        <w:t>日内送达甲方，送达日期以甲方签收日期为准；逾期送达的，每逾期一日</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乙方</w:t>
      </w:r>
      <w:r>
        <w:rPr>
          <w:rFonts w:ascii="仿宋" w:hAnsi="仿宋" w:eastAsia="仿宋" w:cs="Times New Roman"/>
          <w:color w:val="000000"/>
          <w:kern w:val="0"/>
          <w:sz w:val="24"/>
          <w:szCs w:val="24"/>
          <w:lang w:val="en-US" w:eastAsia="zh-CN" w:bidi="ar-SA"/>
        </w:rPr>
        <w:t>应</w:t>
      </w:r>
      <w:r>
        <w:rPr>
          <w:rFonts w:hint="eastAsia" w:ascii="仿宋" w:hAnsi="仿宋" w:eastAsia="仿宋" w:cs="Times New Roman"/>
          <w:color w:val="000000"/>
          <w:kern w:val="0"/>
          <w:sz w:val="24"/>
          <w:szCs w:val="24"/>
          <w:lang w:val="en-US" w:eastAsia="zh-CN" w:bidi="ar-SA"/>
        </w:rPr>
        <w:t>当</w:t>
      </w:r>
      <w:r>
        <w:rPr>
          <w:rFonts w:ascii="仿宋" w:hAnsi="仿宋" w:eastAsia="仿宋" w:cs="Times New Roman"/>
          <w:color w:val="000000"/>
          <w:kern w:val="0"/>
          <w:sz w:val="24"/>
          <w:szCs w:val="20"/>
          <w:lang w:val="en-US" w:eastAsia="zh-CN" w:bidi="ar-SA"/>
        </w:rPr>
        <w:t>按逾期送达发票金额的</w:t>
      </w:r>
      <w:r>
        <w:rPr>
          <w:rFonts w:hint="eastAsia" w:ascii="仿宋" w:hAnsi="仿宋" w:eastAsia="仿宋" w:cs="Times New Roman"/>
          <w:color w:val="000000"/>
          <w:kern w:val="0"/>
          <w:sz w:val="24"/>
          <w:szCs w:val="20"/>
          <w:lang w:val="en-US" w:eastAsia="zh-CN" w:bidi="ar-SA"/>
        </w:rPr>
        <w:t>千</w:t>
      </w:r>
      <w:r>
        <w:rPr>
          <w:rFonts w:ascii="仿宋" w:hAnsi="仿宋" w:eastAsia="仿宋" w:cs="Times New Roman"/>
          <w:color w:val="000000"/>
          <w:kern w:val="0"/>
          <w:sz w:val="24"/>
          <w:szCs w:val="20"/>
          <w:lang w:val="en-US" w:eastAsia="zh-CN" w:bidi="ar-SA"/>
        </w:rPr>
        <w:t>分之三支付违约金,若因逾期送达造成甲方无法抵扣的，乙方还应赔偿甲方由此遭受的损失,金额相当于</w:t>
      </w:r>
      <w:r>
        <w:rPr>
          <w:rFonts w:hint="eastAsia" w:ascii="仿宋" w:hAnsi="仿宋" w:eastAsia="仿宋" w:cs="Times New Roman"/>
          <w:color w:val="000000"/>
          <w:kern w:val="0"/>
          <w:sz w:val="24"/>
          <w:szCs w:val="20"/>
          <w:lang w:val="en-US" w:eastAsia="zh-CN" w:bidi="ar-SA"/>
        </w:rPr>
        <w:t>逾期送达发票可抵扣金额。</w:t>
      </w:r>
    </w:p>
    <w:p w14:paraId="2F28B5E9">
      <w:pPr>
        <w:widowControl w:val="0"/>
        <w:spacing w:line="360" w:lineRule="exact"/>
        <w:ind w:firstLine="42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4.4如乙方提供的增值税专用发票不符合法律法规要求或本合同约定，或不能通过税务认证</w:t>
      </w:r>
      <w:r>
        <w:rPr>
          <w:rFonts w:hint="eastAsia" w:ascii="仿宋" w:hAnsi="仿宋" w:eastAsia="仿宋" w:cs="Times New Roman"/>
          <w:color w:val="000000"/>
          <w:kern w:val="0"/>
          <w:sz w:val="24"/>
          <w:szCs w:val="20"/>
          <w:lang w:val="en-US" w:eastAsia="zh-CN" w:bidi="ar-SA"/>
        </w:rPr>
        <w:t>或不能实现税款抵扣</w:t>
      </w:r>
      <w:r>
        <w:rPr>
          <w:rFonts w:ascii="仿宋" w:hAnsi="仿宋" w:eastAsia="仿宋" w:cs="Times New Roman"/>
          <w:color w:val="000000"/>
          <w:kern w:val="0"/>
          <w:sz w:val="24"/>
          <w:szCs w:val="20"/>
          <w:lang w:val="en-US" w:eastAsia="zh-CN" w:bidi="ar-SA"/>
        </w:rPr>
        <w:t>的，甲方有权拒收或于发现问题后退回，乙方应及时更换，如因此导致未能在</w:t>
      </w:r>
      <w:r>
        <w:rPr>
          <w:rFonts w:hint="eastAsia" w:ascii="仿宋" w:hAnsi="仿宋" w:eastAsia="仿宋" w:cs="Times New Roman"/>
          <w:color w:val="000000"/>
          <w:kern w:val="0"/>
          <w:sz w:val="24"/>
          <w:szCs w:val="20"/>
          <w:lang w:val="en-US" w:eastAsia="zh-CN" w:bidi="ar-SA"/>
        </w:rPr>
        <w:t>第</w:t>
      </w:r>
      <w:r>
        <w:rPr>
          <w:rFonts w:ascii="仿宋" w:hAnsi="仿宋" w:eastAsia="仿宋" w:cs="Times New Roman"/>
          <w:color w:val="000000"/>
          <w:kern w:val="0"/>
          <w:sz w:val="24"/>
          <w:szCs w:val="20"/>
          <w:lang w:val="en-US" w:eastAsia="zh-CN" w:bidi="ar-SA"/>
        </w:rPr>
        <w:t>4.3条约定时限内送达增值税专用发票的，乙方应当按照第4.3条约定承担逾期送达的违约责任</w:t>
      </w:r>
      <w:r>
        <w:rPr>
          <w:rFonts w:hint="eastAsia" w:ascii="仿宋" w:hAnsi="仿宋" w:eastAsia="仿宋" w:cs="Times New Roman"/>
          <w:color w:val="000000"/>
          <w:kern w:val="0"/>
          <w:sz w:val="24"/>
          <w:szCs w:val="20"/>
          <w:lang w:val="en-US" w:eastAsia="zh-CN" w:bidi="ar-SA"/>
        </w:rPr>
        <w:t>；如无法更换的，甲方有权要求乙方支付发票金额</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5</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的违约金，并赔偿甲方由此遭受的损失</w:t>
      </w:r>
      <w:r>
        <w:rPr>
          <w:rFonts w:ascii="仿宋" w:hAnsi="仿宋" w:eastAsia="仿宋" w:cs="Times New Roman"/>
          <w:color w:val="000000"/>
          <w:kern w:val="0"/>
          <w:sz w:val="24"/>
          <w:szCs w:val="20"/>
          <w:lang w:val="en-US" w:eastAsia="zh-CN" w:bidi="ar-SA"/>
        </w:rPr>
        <w:t>。</w:t>
      </w:r>
    </w:p>
    <w:p w14:paraId="1F7B647E">
      <w:pPr>
        <w:widowControl w:val="0"/>
        <w:spacing w:line="360" w:lineRule="exact"/>
        <w:ind w:firstLine="48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4.5若根据本合同规定，乙方应当支付违约金和/或承担赔偿责任，则甲方有权从上述任何一笔付款中直接扣除相应金额。扣除后仍不足以赔偿甲方损失的，乙方应在接到甲方通知后</w:t>
      </w:r>
      <w:r>
        <w:rPr>
          <w:rFonts w:hint="eastAsia" w:ascii="仿宋" w:hAnsi="仿宋" w:eastAsia="仿宋" w:cs="Times New Roman"/>
          <w:color w:val="000000"/>
          <w:kern w:val="0"/>
          <w:sz w:val="24"/>
          <w:szCs w:val="20"/>
          <w:lang w:val="en-US" w:eastAsia="zh-CN" w:bidi="ar-SA"/>
        </w:rPr>
        <w:t>十五</w:t>
      </w:r>
      <w:r>
        <w:rPr>
          <w:rFonts w:ascii="仿宋" w:hAnsi="仿宋" w:eastAsia="仿宋" w:cs="Times New Roman"/>
          <w:color w:val="000000"/>
          <w:kern w:val="0"/>
          <w:sz w:val="24"/>
          <w:szCs w:val="20"/>
          <w:lang w:val="en-US" w:eastAsia="zh-CN" w:bidi="ar-SA"/>
        </w:rPr>
        <w:t>日内将不足部分以[银行转账]（银行转账、电汇、支票等）方式付至甲方</w:t>
      </w:r>
      <w:r>
        <w:rPr>
          <w:rFonts w:ascii="仿宋" w:hAnsi="仿宋" w:eastAsia="仿宋" w:cs="Times New Roman"/>
          <w:color w:val="000000"/>
          <w:kern w:val="0"/>
          <w:sz w:val="24"/>
          <w:szCs w:val="24"/>
          <w:lang w:val="en-US" w:eastAsia="zh-CN" w:bidi="ar-SA"/>
        </w:rPr>
        <w:t>。</w:t>
      </w:r>
    </w:p>
    <w:p w14:paraId="098C8405">
      <w:pPr>
        <w:widowControl w:val="0"/>
        <w:spacing w:line="360" w:lineRule="exact"/>
        <w:ind w:firstLine="480" w:firstLineChars="200"/>
        <w:jc w:val="both"/>
        <w:rPr>
          <w:rFonts w:ascii="仿宋" w:hAnsi="仿宋" w:eastAsia="仿宋" w:cs="Times New Roman"/>
          <w:color w:val="000000"/>
          <w:kern w:val="0"/>
          <w:sz w:val="24"/>
          <w:szCs w:val="24"/>
          <w:lang w:val="en-US" w:eastAsia="zh-CN" w:bidi="ar-SA"/>
        </w:rPr>
      </w:pPr>
      <w:r>
        <w:rPr>
          <w:rFonts w:ascii="仿宋" w:hAnsi="仿宋" w:eastAsia="仿宋" w:cs="Times New Roman"/>
          <w:color w:val="000000"/>
          <w:kern w:val="0"/>
          <w:sz w:val="24"/>
          <w:szCs w:val="20"/>
          <w:lang w:val="en-US" w:eastAsia="zh-CN" w:bidi="ar-SA"/>
        </w:rPr>
        <w:t>4.6在甲方</w:t>
      </w:r>
      <w:r>
        <w:rPr>
          <w:rFonts w:hint="eastAsia" w:ascii="仿宋" w:hAnsi="仿宋" w:eastAsia="仿宋" w:cs="Times New Roman"/>
          <w:color w:val="000000"/>
          <w:kern w:val="0"/>
          <w:sz w:val="24"/>
          <w:szCs w:val="24"/>
          <w:lang w:val="en-US" w:eastAsia="zh-CN" w:bidi="ar-SA"/>
        </w:rPr>
        <w:t>开户</w:t>
      </w:r>
      <w:r>
        <w:rPr>
          <w:rFonts w:ascii="仿宋" w:hAnsi="仿宋" w:eastAsia="仿宋" w:cs="Times New Roman"/>
          <w:color w:val="000000"/>
          <w:kern w:val="0"/>
          <w:sz w:val="24"/>
          <w:szCs w:val="20"/>
          <w:lang w:val="en-US" w:eastAsia="zh-CN" w:bidi="ar-SA"/>
        </w:rPr>
        <w:t>银行所发生的银行费用由甲方负担，甲方</w:t>
      </w:r>
      <w:r>
        <w:rPr>
          <w:rFonts w:hint="eastAsia" w:ascii="仿宋" w:hAnsi="仿宋" w:eastAsia="仿宋" w:cs="Times New Roman"/>
          <w:color w:val="000000"/>
          <w:kern w:val="0"/>
          <w:sz w:val="24"/>
          <w:szCs w:val="24"/>
          <w:lang w:val="en-US" w:eastAsia="zh-CN" w:bidi="ar-SA"/>
        </w:rPr>
        <w:t>开户</w:t>
      </w:r>
      <w:r>
        <w:rPr>
          <w:rFonts w:ascii="仿宋" w:hAnsi="仿宋" w:eastAsia="仿宋" w:cs="Times New Roman"/>
          <w:color w:val="000000"/>
          <w:kern w:val="0"/>
          <w:sz w:val="24"/>
          <w:szCs w:val="20"/>
          <w:lang w:val="en-US" w:eastAsia="zh-CN" w:bidi="ar-SA"/>
        </w:rPr>
        <w:t>银行以外的一切银行费用由乙方负担</w:t>
      </w:r>
      <w:bookmarkStart w:id="1533" w:name="_Toc33253831"/>
      <w:r>
        <w:rPr>
          <w:rFonts w:ascii="仿宋" w:hAnsi="仿宋" w:eastAsia="仿宋" w:cs="Times New Roman"/>
          <w:color w:val="000000"/>
          <w:kern w:val="0"/>
          <w:sz w:val="24"/>
          <w:szCs w:val="24"/>
          <w:lang w:val="en-US" w:eastAsia="zh-CN" w:bidi="ar-SA"/>
        </w:rPr>
        <w:t>。</w:t>
      </w:r>
    </w:p>
    <w:p w14:paraId="7CA8C3A6">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4"/>
          <w:lang w:val="en-US" w:eastAsia="zh-CN" w:bidi="ar-SA"/>
        </w:rPr>
        <w:t xml:space="preserve">4.7 </w:t>
      </w:r>
      <w:r>
        <w:rPr>
          <w:rFonts w:hint="eastAsia" w:ascii="仿宋" w:hAnsi="仿宋" w:eastAsia="仿宋" w:cs="Times New Roman"/>
          <w:color w:val="000000"/>
          <w:kern w:val="0"/>
          <w:sz w:val="24"/>
          <w:szCs w:val="24"/>
          <w:lang w:val="en-US" w:eastAsia="zh-CN" w:bidi="ar-SA"/>
        </w:rPr>
        <w:t>若甲乙双方互负到期债务，且该债务均为金钱给付的，甲方有权以其到期债务抵销乙方的到期债务，抵销自甲方通知到达乙方时生效</w:t>
      </w:r>
      <w:r>
        <w:rPr>
          <w:rFonts w:hint="eastAsia" w:ascii="仿宋" w:hAnsi="仿宋" w:eastAsia="仿宋" w:cs="Times New Roman"/>
          <w:color w:val="000000"/>
          <w:kern w:val="0"/>
          <w:sz w:val="24"/>
          <w:szCs w:val="20"/>
          <w:lang w:val="en-US" w:eastAsia="zh-CN" w:bidi="ar-SA"/>
        </w:rPr>
        <w:t>。</w:t>
      </w:r>
    </w:p>
    <w:p w14:paraId="189E272F">
      <w:pPr>
        <w:widowControl w:val="0"/>
        <w:spacing w:line="360" w:lineRule="exact"/>
        <w:ind w:firstLine="482"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第五条</w:t>
      </w:r>
      <w:r>
        <w:rPr>
          <w:rFonts w:ascii="仿宋" w:hAnsi="仿宋" w:eastAsia="仿宋" w:cs="Times New Roman"/>
          <w:b/>
          <w:color w:val="000000"/>
          <w:kern w:val="0"/>
          <w:sz w:val="24"/>
          <w:szCs w:val="20"/>
          <w:lang w:val="en-US" w:eastAsia="zh-CN" w:bidi="ar-SA"/>
        </w:rPr>
        <w:t xml:space="preserve"> 初验、移交、试运行和终验</w:t>
      </w:r>
      <w:bookmarkEnd w:id="1533"/>
    </w:p>
    <w:p w14:paraId="4646D66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5.1乙方保证其向甲方提供的应用软件为全新、完整的软件，并且保证其</w:t>
      </w:r>
      <w:r>
        <w:rPr>
          <w:rFonts w:hint="eastAsia" w:ascii="仿宋" w:hAnsi="仿宋" w:eastAsia="仿宋" w:cs="Times New Roman"/>
          <w:color w:val="000000"/>
          <w:kern w:val="0"/>
          <w:sz w:val="24"/>
          <w:szCs w:val="24"/>
          <w:lang w:val="en-US" w:eastAsia="zh-CN" w:bidi="ar-SA"/>
        </w:rPr>
        <w:t>提供的</w:t>
      </w:r>
      <w:r>
        <w:rPr>
          <w:rFonts w:ascii="仿宋" w:hAnsi="仿宋" w:eastAsia="仿宋" w:cs="Times New Roman"/>
          <w:color w:val="000000"/>
          <w:kern w:val="0"/>
          <w:sz w:val="24"/>
          <w:szCs w:val="20"/>
          <w:lang w:val="en-US" w:eastAsia="zh-CN" w:bidi="ar-SA"/>
        </w:rPr>
        <w:t>应用软件的性能、质量及运行与</w:t>
      </w:r>
      <w:r>
        <w:rPr>
          <w:rFonts w:hint="eastAsia" w:ascii="仿宋" w:hAnsi="仿宋" w:eastAsia="仿宋" w:cs="Times New Roman"/>
          <w:color w:val="000000"/>
          <w:kern w:val="0"/>
          <w:sz w:val="24"/>
          <w:szCs w:val="24"/>
          <w:lang w:val="en-US" w:eastAsia="zh-CN" w:bidi="ar-SA"/>
        </w:rPr>
        <w:t>本</w:t>
      </w:r>
      <w:r>
        <w:rPr>
          <w:rFonts w:ascii="仿宋" w:hAnsi="仿宋" w:eastAsia="仿宋" w:cs="Times New Roman"/>
          <w:color w:val="000000"/>
          <w:kern w:val="0"/>
          <w:sz w:val="24"/>
          <w:szCs w:val="20"/>
          <w:lang w:val="en-US" w:eastAsia="zh-CN" w:bidi="ar-SA"/>
        </w:rPr>
        <w:t>合同及附件中的所有要求相符。双方按本条规定的程序和标准对乙方完成的应用软件进行初验、移交、试运行和终验。</w:t>
      </w:r>
    </w:p>
    <w:p w14:paraId="7CFDCD9B">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5.2初验</w:t>
      </w:r>
    </w:p>
    <w:p w14:paraId="738C235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乙方按照本合同规定将应用软件开发完成后，应向甲方提交书面初验申请，甲方在收到申请后</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五</w:t>
      </w:r>
      <w:r>
        <w:rPr>
          <w:rFonts w:ascii="仿宋" w:hAnsi="仿宋" w:eastAsia="仿宋" w:cs="Times New Roman"/>
          <w:color w:val="000000"/>
          <w:kern w:val="0"/>
          <w:sz w:val="24"/>
          <w:szCs w:val="20"/>
          <w:lang w:val="en-US" w:eastAsia="zh-CN" w:bidi="ar-SA"/>
        </w:rPr>
        <w:t>]个工作日内，</w:t>
      </w:r>
      <w:r>
        <w:rPr>
          <w:rFonts w:hint="eastAsia" w:ascii="仿宋" w:hAnsi="仿宋" w:eastAsia="仿宋" w:cs="Times New Roman"/>
          <w:color w:val="000000"/>
          <w:kern w:val="0"/>
          <w:sz w:val="24"/>
          <w:szCs w:val="20"/>
          <w:lang w:val="en-US" w:eastAsia="zh-CN" w:bidi="ar-SA"/>
        </w:rPr>
        <w:t>按照附件二对应用软件进行初验，乙方</w:t>
      </w:r>
      <w:r>
        <w:rPr>
          <w:rFonts w:hint="eastAsia" w:ascii="仿宋" w:hAnsi="仿宋" w:eastAsia="仿宋" w:cs="Times New Roman"/>
          <w:color w:val="000000"/>
          <w:kern w:val="0"/>
          <w:sz w:val="24"/>
          <w:szCs w:val="24"/>
          <w:lang w:val="en-US" w:eastAsia="zh-CN" w:bidi="ar-SA"/>
        </w:rPr>
        <w:t>应当</w:t>
      </w:r>
      <w:r>
        <w:rPr>
          <w:rFonts w:hint="eastAsia" w:ascii="仿宋" w:hAnsi="仿宋" w:eastAsia="仿宋" w:cs="Times New Roman"/>
          <w:color w:val="000000"/>
          <w:kern w:val="0"/>
          <w:sz w:val="24"/>
          <w:szCs w:val="20"/>
          <w:lang w:val="en-US" w:eastAsia="zh-CN" w:bidi="ar-SA"/>
        </w:rPr>
        <w:t>提供必要的配合。如果测试结果符合附件二的初验测试标准，双方签署</w:t>
      </w:r>
    </w:p>
    <w:p w14:paraId="7BD4887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初验不合格，乙方应立即进行更正修改，直至测试结果符合。初验不合格</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30</w:t>
      </w:r>
      <w:r>
        <w:rPr>
          <w:rFonts w:ascii="仿宋" w:hAnsi="仿宋" w:eastAsia="仿宋" w:cs="Times New Roman"/>
          <w:color w:val="000000"/>
          <w:kern w:val="0"/>
          <w:sz w:val="24"/>
          <w:szCs w:val="20"/>
          <w:lang w:val="en-US" w:eastAsia="zh-CN" w:bidi="ar-SA"/>
        </w:rPr>
        <w:t>]日后，</w:t>
      </w:r>
      <w:r>
        <w:rPr>
          <w:rFonts w:hint="eastAsia" w:ascii="仿宋" w:hAnsi="仿宋" w:eastAsia="仿宋" w:cs="Times New Roman"/>
          <w:color w:val="000000"/>
          <w:kern w:val="0"/>
          <w:sz w:val="24"/>
          <w:szCs w:val="20"/>
          <w:lang w:val="en-US" w:eastAsia="zh-CN" w:bidi="ar-SA"/>
        </w:rPr>
        <w:t>经乙方更正修改仍不能达到的，</w:t>
      </w:r>
      <w:r>
        <w:rPr>
          <w:rFonts w:hint="eastAsia" w:ascii="仿宋" w:hAnsi="仿宋" w:eastAsia="仿宋" w:cs="Times New Roman"/>
          <w:color w:val="000000"/>
          <w:kern w:val="0"/>
          <w:sz w:val="24"/>
          <w:szCs w:val="24"/>
          <w:lang w:val="en-US" w:eastAsia="zh-CN" w:bidi="ar-SA"/>
        </w:rPr>
        <w:t>乙方应退还甲方已付款项并按本合同总价的</w:t>
      </w:r>
      <w:r>
        <w:rPr>
          <w:rFonts w:ascii="仿宋" w:hAnsi="仿宋" w:eastAsia="仿宋" w:cs="Times New Roman"/>
          <w:color w:val="000000"/>
          <w:kern w:val="0"/>
          <w:sz w:val="24"/>
          <w:szCs w:val="24"/>
          <w:lang w:val="en-US" w:eastAsia="zh-CN" w:bidi="ar-SA"/>
        </w:rPr>
        <w:t xml:space="preserve">[ </w:t>
      </w:r>
      <w:r>
        <w:rPr>
          <w:rFonts w:hint="eastAsia" w:ascii="仿宋" w:hAnsi="仿宋" w:eastAsia="仿宋" w:cs="Times New Roman"/>
          <w:color w:val="000000"/>
          <w:kern w:val="0"/>
          <w:sz w:val="24"/>
          <w:szCs w:val="24"/>
          <w:lang w:val="en-US" w:eastAsia="zh-CN" w:bidi="ar-SA"/>
        </w:rPr>
        <w:t>5</w:t>
      </w:r>
      <w:r>
        <w:rPr>
          <w:rFonts w:ascii="仿宋" w:hAnsi="仿宋" w:eastAsia="仿宋" w:cs="Times New Roman"/>
          <w:color w:val="000000"/>
          <w:kern w:val="0"/>
          <w:sz w:val="24"/>
          <w:szCs w:val="24"/>
          <w:lang w:val="en-US" w:eastAsia="zh-CN" w:bidi="ar-SA"/>
        </w:rPr>
        <w:t xml:space="preserve"> ]%向甲方支付违约金</w:t>
      </w:r>
      <w:r>
        <w:rPr>
          <w:rFonts w:hint="eastAsia" w:ascii="仿宋" w:hAnsi="仿宋" w:eastAsia="仿宋" w:cs="Times New Roman"/>
          <w:color w:val="000000"/>
          <w:kern w:val="0"/>
          <w:sz w:val="24"/>
          <w:szCs w:val="24"/>
          <w:lang w:val="en-US" w:eastAsia="zh-CN" w:bidi="ar-SA"/>
        </w:rPr>
        <w:t>，且</w:t>
      </w:r>
      <w:r>
        <w:rPr>
          <w:rFonts w:hint="eastAsia" w:ascii="仿宋" w:hAnsi="仿宋" w:eastAsia="仿宋" w:cs="Times New Roman"/>
          <w:color w:val="000000"/>
          <w:kern w:val="0"/>
          <w:sz w:val="24"/>
          <w:szCs w:val="20"/>
          <w:lang w:val="en-US" w:eastAsia="zh-CN" w:bidi="ar-SA"/>
        </w:rPr>
        <w:t>甲方有权解除本合同。</w:t>
      </w:r>
    </w:p>
    <w:p w14:paraId="0C55BF47">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5.3移交</w:t>
      </w:r>
    </w:p>
    <w:p w14:paraId="185B455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乙方在初验合格后</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五</w:t>
      </w:r>
      <w:r>
        <w:rPr>
          <w:rFonts w:ascii="仿宋" w:hAnsi="仿宋" w:eastAsia="仿宋" w:cs="Times New Roman"/>
          <w:color w:val="000000"/>
          <w:kern w:val="0"/>
          <w:sz w:val="24"/>
          <w:szCs w:val="20"/>
          <w:lang w:val="en-US" w:eastAsia="zh-CN" w:bidi="ar-SA"/>
        </w:rPr>
        <w:t>]个工作日</w:t>
      </w:r>
      <w:r>
        <w:rPr>
          <w:rFonts w:hint="eastAsia" w:ascii="仿宋" w:hAnsi="仿宋" w:eastAsia="仿宋" w:cs="Times New Roman"/>
          <w:color w:val="000000"/>
          <w:kern w:val="0"/>
          <w:sz w:val="24"/>
          <w:szCs w:val="20"/>
          <w:lang w:val="en-US" w:eastAsia="zh-CN" w:bidi="ar-SA"/>
        </w:rPr>
        <w:t>内向甲方提交应用软件设计文件，包括但不限于应用软件的软件开发计划及其管理变更日志、软件开发安全过程管控报告、需求规格说明书、软件设计文档、软件架构文档、软件系统设计、软件安装前测试方案、测试计划、模块设计、模块组织、模块流程及模块间接口设计等</w:t>
      </w:r>
      <w:r>
        <w:rPr>
          <w:rFonts w:ascii="仿宋" w:hAnsi="仿宋" w:eastAsia="仿宋" w:cs="Times New Roman"/>
          <w:color w:val="000000"/>
          <w:kern w:val="0"/>
          <w:sz w:val="24"/>
          <w:szCs w:val="20"/>
          <w:lang w:val="en-US" w:eastAsia="zh-CN" w:bidi="ar-SA"/>
        </w:rPr>
        <w:t>,同时应提交应用软件开发各阶段文件及应用软件源代码，并根据</w:t>
      </w:r>
      <w:r>
        <w:rPr>
          <w:rFonts w:hint="eastAsia" w:ascii="仿宋" w:hAnsi="仿宋" w:eastAsia="仿宋" w:cs="Times New Roman"/>
          <w:color w:val="000000"/>
          <w:kern w:val="0"/>
          <w:sz w:val="24"/>
          <w:szCs w:val="20"/>
          <w:lang w:val="en-US" w:eastAsia="zh-CN" w:bidi="ar-SA"/>
        </w:rPr>
        <w:t>附件二的要求进行全部完整、准确的技术文件的移交。</w:t>
      </w:r>
    </w:p>
    <w:p w14:paraId="7FC5D91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5.4试运行</w:t>
      </w:r>
    </w:p>
    <w:p w14:paraId="41F46E81">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应用软件初验合格后进入试运行期。试运行期限为</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7日</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试运行应表明应用软件的功能和性能符合乙方在本合同。如果在试运行期间发现任何因乙方原因造成的与规定的不符，乙方有责任对其进行修改和更正直到达到合同中的要求，同时试运行期依据上述修改、更正期间进行相应顺延。如果由于乙方原因引起的应用软件的质量和性能问题造成整个系统瘫痪，并且不能在</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4</w:t>
      </w:r>
      <w:r>
        <w:rPr>
          <w:rFonts w:ascii="仿宋" w:hAnsi="仿宋" w:eastAsia="仿宋" w:cs="Times New Roman"/>
          <w:color w:val="000000"/>
          <w:kern w:val="0"/>
          <w:sz w:val="24"/>
          <w:szCs w:val="20"/>
          <w:lang w:val="en-US" w:eastAsia="zh-CN" w:bidi="ar-SA"/>
        </w:rPr>
        <w:t>]小时</w:t>
      </w:r>
      <w:r>
        <w:rPr>
          <w:rFonts w:hint="eastAsia" w:ascii="仿宋" w:hAnsi="仿宋" w:eastAsia="仿宋" w:cs="Times New Roman"/>
          <w:color w:val="000000"/>
          <w:kern w:val="0"/>
          <w:sz w:val="24"/>
          <w:szCs w:val="20"/>
          <w:lang w:val="en-US" w:eastAsia="zh-CN" w:bidi="ar-SA"/>
        </w:rPr>
        <w:t>内恢复，试运行期自系统恢复之次日起重新开始计算。试运行最长不得超过</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三个月</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超过该期间后仍不能达到附件二的标准的，</w:t>
      </w:r>
      <w:r>
        <w:rPr>
          <w:rFonts w:hint="eastAsia" w:ascii="仿宋" w:hAnsi="仿宋" w:eastAsia="仿宋" w:cs="Times New Roman"/>
          <w:color w:val="000000"/>
          <w:kern w:val="0"/>
          <w:sz w:val="24"/>
          <w:szCs w:val="24"/>
          <w:lang w:val="en-US" w:eastAsia="zh-CN" w:bidi="ar-SA"/>
        </w:rPr>
        <w:t>乙方应退还甲方已付款项并按本合同总价的</w:t>
      </w:r>
      <w:r>
        <w:rPr>
          <w:rFonts w:ascii="仿宋" w:hAnsi="仿宋" w:eastAsia="仿宋" w:cs="Times New Roman"/>
          <w:color w:val="000000"/>
          <w:kern w:val="0"/>
          <w:sz w:val="24"/>
          <w:szCs w:val="24"/>
          <w:lang w:val="en-US" w:eastAsia="zh-CN" w:bidi="ar-SA"/>
        </w:rPr>
        <w:t>[</w:t>
      </w:r>
      <w:r>
        <w:rPr>
          <w:rFonts w:hint="eastAsia" w:ascii="仿宋" w:hAnsi="仿宋" w:eastAsia="仿宋" w:cs="Times New Roman"/>
          <w:color w:val="000000"/>
          <w:kern w:val="0"/>
          <w:sz w:val="24"/>
          <w:szCs w:val="24"/>
          <w:lang w:val="en-US" w:eastAsia="zh-CN" w:bidi="ar-SA"/>
        </w:rPr>
        <w:t>5</w:t>
      </w:r>
      <w:r>
        <w:rPr>
          <w:rFonts w:ascii="仿宋" w:hAnsi="仿宋" w:eastAsia="仿宋" w:cs="Times New Roman"/>
          <w:color w:val="000000"/>
          <w:kern w:val="0"/>
          <w:sz w:val="24"/>
          <w:szCs w:val="24"/>
          <w:lang w:val="en-US" w:eastAsia="zh-CN" w:bidi="ar-SA"/>
        </w:rPr>
        <w:t>]%向甲方支付违约金</w:t>
      </w:r>
      <w:r>
        <w:rPr>
          <w:rFonts w:hint="eastAsia" w:ascii="仿宋" w:hAnsi="仿宋" w:eastAsia="仿宋" w:cs="Times New Roman"/>
          <w:color w:val="000000"/>
          <w:kern w:val="0"/>
          <w:sz w:val="24"/>
          <w:szCs w:val="24"/>
          <w:lang w:val="en-US" w:eastAsia="zh-CN" w:bidi="ar-SA"/>
        </w:rPr>
        <w:t>，且甲方有权解除合同</w:t>
      </w:r>
      <w:r>
        <w:rPr>
          <w:rFonts w:hint="eastAsia" w:ascii="仿宋" w:hAnsi="仿宋" w:eastAsia="仿宋" w:cs="Times New Roman"/>
          <w:color w:val="000000"/>
          <w:kern w:val="0"/>
          <w:sz w:val="24"/>
          <w:szCs w:val="20"/>
          <w:lang w:val="en-US" w:eastAsia="zh-CN" w:bidi="ar-SA"/>
        </w:rPr>
        <w:t>。</w:t>
      </w:r>
    </w:p>
    <w:p w14:paraId="719888C1">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5.5终验</w:t>
      </w:r>
    </w:p>
    <w:p w14:paraId="78D46B83">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终验在试运行期届满后</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五</w:t>
      </w:r>
      <w:r>
        <w:rPr>
          <w:rFonts w:ascii="仿宋" w:hAnsi="仿宋" w:eastAsia="仿宋" w:cs="Times New Roman"/>
          <w:color w:val="000000"/>
          <w:kern w:val="0"/>
          <w:sz w:val="24"/>
          <w:szCs w:val="20"/>
          <w:lang w:val="en-US" w:eastAsia="zh-CN" w:bidi="ar-SA"/>
        </w:rPr>
        <w:t>]个工作日内</w:t>
      </w:r>
      <w:r>
        <w:rPr>
          <w:rFonts w:hint="eastAsia" w:ascii="仿宋" w:hAnsi="仿宋" w:eastAsia="仿宋" w:cs="Times New Roman"/>
          <w:color w:val="000000"/>
          <w:kern w:val="0"/>
          <w:sz w:val="24"/>
          <w:szCs w:val="20"/>
          <w:lang w:val="en-US" w:eastAsia="zh-CN" w:bidi="ar-SA"/>
        </w:rPr>
        <w:t>由甲方指派代表进行。如果终验测试应用软件的所有功能和性能指标均与规定相符，甲方与乙方共同签署两份终验证书，其中一份由乙方保存，一份由甲方保存。终验不合格，由乙方负责更正和修改。乙方更正、修改后</w:t>
      </w:r>
      <w:r>
        <w:rPr>
          <w:rFonts w:hint="eastAsia" w:ascii="仿宋" w:hAnsi="仿宋" w:eastAsia="仿宋" w:cs="Times New Roman"/>
          <w:color w:val="000000"/>
          <w:kern w:val="0"/>
          <w:sz w:val="24"/>
          <w:szCs w:val="24"/>
          <w:lang w:val="en-US" w:eastAsia="zh-CN" w:bidi="ar-SA"/>
        </w:rPr>
        <w:t>应当</w:t>
      </w:r>
      <w:r>
        <w:rPr>
          <w:rFonts w:hint="eastAsia" w:ascii="仿宋" w:hAnsi="仿宋" w:eastAsia="仿宋" w:cs="Times New Roman"/>
          <w:color w:val="000000"/>
          <w:kern w:val="0"/>
          <w:sz w:val="24"/>
          <w:szCs w:val="20"/>
          <w:lang w:val="en-US" w:eastAsia="zh-CN" w:bidi="ar-SA"/>
        </w:rPr>
        <w:t>再次按照规定进行终验。如果再次终验仍不合格，</w:t>
      </w:r>
      <w:r>
        <w:rPr>
          <w:rFonts w:hint="eastAsia" w:ascii="仿宋" w:hAnsi="仿宋" w:eastAsia="仿宋" w:cs="Times New Roman"/>
          <w:color w:val="000000"/>
          <w:kern w:val="0"/>
          <w:sz w:val="24"/>
          <w:szCs w:val="24"/>
          <w:lang w:val="en-US" w:eastAsia="zh-CN" w:bidi="ar-SA"/>
        </w:rPr>
        <w:t>乙方应退还甲方已付款项并按本合同总价的</w:t>
      </w:r>
      <w:r>
        <w:rPr>
          <w:rFonts w:ascii="仿宋" w:hAnsi="仿宋" w:eastAsia="仿宋" w:cs="Times New Roman"/>
          <w:color w:val="000000"/>
          <w:kern w:val="0"/>
          <w:sz w:val="24"/>
          <w:szCs w:val="24"/>
          <w:lang w:val="en-US" w:eastAsia="zh-CN" w:bidi="ar-SA"/>
        </w:rPr>
        <w:t>[</w:t>
      </w:r>
      <w:r>
        <w:rPr>
          <w:rFonts w:hint="eastAsia" w:ascii="仿宋" w:hAnsi="仿宋" w:eastAsia="仿宋" w:cs="Times New Roman"/>
          <w:color w:val="000000"/>
          <w:kern w:val="0"/>
          <w:sz w:val="24"/>
          <w:szCs w:val="24"/>
          <w:lang w:val="en-US" w:eastAsia="zh-CN" w:bidi="ar-SA"/>
        </w:rPr>
        <w:t>5</w:t>
      </w:r>
      <w:r>
        <w:rPr>
          <w:rFonts w:ascii="仿宋" w:hAnsi="仿宋" w:eastAsia="仿宋" w:cs="Times New Roman"/>
          <w:color w:val="000000"/>
          <w:kern w:val="0"/>
          <w:sz w:val="24"/>
          <w:szCs w:val="24"/>
          <w:lang w:val="en-US" w:eastAsia="zh-CN" w:bidi="ar-SA"/>
        </w:rPr>
        <w:t>]%向甲方支付违约金</w:t>
      </w:r>
      <w:r>
        <w:rPr>
          <w:rFonts w:hint="eastAsia" w:ascii="仿宋" w:hAnsi="仿宋" w:eastAsia="仿宋" w:cs="Times New Roman"/>
          <w:color w:val="000000"/>
          <w:kern w:val="0"/>
          <w:sz w:val="24"/>
          <w:szCs w:val="24"/>
          <w:lang w:val="en-US" w:eastAsia="zh-CN" w:bidi="ar-SA"/>
        </w:rPr>
        <w:t>，且甲方有权解除</w:t>
      </w:r>
      <w:r>
        <w:rPr>
          <w:rFonts w:hint="eastAsia" w:ascii="仿宋" w:hAnsi="仿宋" w:eastAsia="仿宋" w:cs="Times New Roman"/>
          <w:color w:val="000000"/>
          <w:kern w:val="0"/>
          <w:sz w:val="24"/>
          <w:szCs w:val="20"/>
          <w:lang w:val="en-US" w:eastAsia="zh-CN" w:bidi="ar-SA"/>
        </w:rPr>
        <w:t>本合同。</w:t>
      </w:r>
    </w:p>
    <w:p w14:paraId="756A8DC8">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5.6终验合格并不免除乙方根据本合同规定的保修责任。</w:t>
      </w:r>
    </w:p>
    <w:p w14:paraId="26C7557E">
      <w:pPr>
        <w:widowControl w:val="0"/>
        <w:spacing w:line="360" w:lineRule="exact"/>
        <w:ind w:firstLine="480" w:firstLineChars="200"/>
        <w:jc w:val="both"/>
        <w:rPr>
          <w:rFonts w:hint="eastAsia"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5.7 本项目应用软件中引用的所有开源组件、第三方组件、中间件等外部组件，须经过甲方审批同意后方可使用，乙方须在本项目初验、终验时按照规定的格式提供</w:t>
      </w:r>
      <w:r>
        <w:rPr>
          <w:rFonts w:hint="eastAsia" w:ascii="仿宋" w:hAnsi="仿宋" w:eastAsia="仿宋" w:cs="Times New Roman"/>
          <w:kern w:val="0"/>
          <w:sz w:val="24"/>
          <w:szCs w:val="20"/>
          <w:lang w:val="en-US" w:eastAsia="zh-CN" w:bidi="ar-SA"/>
        </w:rPr>
        <w:t>外部组件</w:t>
      </w:r>
      <w:r>
        <w:rPr>
          <w:rFonts w:hint="eastAsia" w:ascii="仿宋" w:hAnsi="仿宋" w:eastAsia="仿宋" w:cs="Times New Roman"/>
          <w:color w:val="000000"/>
          <w:kern w:val="0"/>
          <w:sz w:val="24"/>
          <w:szCs w:val="20"/>
          <w:lang w:val="en-US" w:eastAsia="zh-CN" w:bidi="ar-SA"/>
        </w:rPr>
        <w:t>软件成分信息清单。如甲方在代码审计、代码走查、安全检测等软件安全检查中发现应用软件中存在非软件成分信息清单中的组件。</w:t>
      </w:r>
    </w:p>
    <w:p w14:paraId="0148AE31">
      <w:pPr>
        <w:widowControl w:val="0"/>
        <w:spacing w:line="360" w:lineRule="exact"/>
        <w:ind w:firstLine="482" w:firstLineChars="200"/>
        <w:jc w:val="both"/>
        <w:rPr>
          <w:rFonts w:ascii="仿宋" w:hAnsi="仿宋" w:eastAsia="仿宋" w:cs="Times New Roman"/>
          <w:b/>
          <w:color w:val="000000"/>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第六条技术支持与服务、保修</w:t>
      </w:r>
    </w:p>
    <w:p w14:paraId="1B1EC73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6.1乙方</w:t>
      </w:r>
      <w:r>
        <w:rPr>
          <w:rFonts w:ascii="仿宋" w:hAnsi="仿宋" w:eastAsia="仿宋" w:cs="Times New Roman"/>
          <w:color w:val="000000"/>
          <w:kern w:val="0"/>
          <w:sz w:val="24"/>
          <w:szCs w:val="24"/>
          <w:lang w:val="en-US" w:eastAsia="zh-CN" w:bidi="ar-SA"/>
        </w:rPr>
        <w:t>指定专业团队</w:t>
      </w:r>
      <w:r>
        <w:rPr>
          <w:rFonts w:ascii="仿宋" w:hAnsi="仿宋" w:eastAsia="仿宋" w:cs="Times New Roman"/>
          <w:color w:val="000000"/>
          <w:kern w:val="0"/>
          <w:sz w:val="24"/>
          <w:szCs w:val="20"/>
          <w:lang w:val="en-US" w:eastAsia="zh-CN" w:bidi="ar-SA"/>
        </w:rPr>
        <w:t>向甲方提供与使用应用软件相关的技术服务。乙方提供的技术支持和服务的内容包括</w:t>
      </w:r>
      <w:r>
        <w:rPr>
          <w:rFonts w:ascii="仿宋" w:hAnsi="仿宋" w:eastAsia="仿宋" w:cs="Times New Roman"/>
          <w:color w:val="000000"/>
          <w:kern w:val="0"/>
          <w:sz w:val="24"/>
          <w:szCs w:val="24"/>
          <w:lang w:val="en-US" w:eastAsia="zh-CN" w:bidi="ar-SA"/>
        </w:rPr>
        <w:t>微信、QQ、</w:t>
      </w:r>
      <w:r>
        <w:rPr>
          <w:rFonts w:ascii="仿宋" w:hAnsi="仿宋" w:eastAsia="仿宋" w:cs="Times New Roman"/>
          <w:color w:val="000000"/>
          <w:kern w:val="0"/>
          <w:sz w:val="24"/>
          <w:szCs w:val="20"/>
          <w:lang w:val="en-US" w:eastAsia="zh-CN" w:bidi="ar-SA"/>
        </w:rPr>
        <w:t>电话支持、现场服务、软件维护支持、电子邮件支持、因特网支持和提供系统应急策略等内容。</w:t>
      </w:r>
    </w:p>
    <w:p w14:paraId="1E0E2DD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6.2自</w:t>
      </w:r>
      <w:r>
        <w:rPr>
          <w:rFonts w:hint="eastAsia" w:ascii="仿宋" w:hAnsi="仿宋" w:eastAsia="仿宋" w:cs="Times New Roman"/>
          <w:color w:val="000000"/>
          <w:kern w:val="0"/>
          <w:sz w:val="24"/>
          <w:szCs w:val="24"/>
          <w:lang w:val="en-US" w:eastAsia="zh-CN" w:bidi="ar-SA"/>
        </w:rPr>
        <w:t>双方签署</w:t>
      </w:r>
      <w:r>
        <w:rPr>
          <w:rFonts w:hint="eastAsia" w:ascii="仿宋" w:hAnsi="仿宋" w:eastAsia="仿宋" w:cs="Times New Roman"/>
          <w:color w:val="000000"/>
          <w:kern w:val="0"/>
          <w:sz w:val="24"/>
          <w:szCs w:val="20"/>
          <w:lang w:val="en-US" w:eastAsia="zh-CN" w:bidi="ar-SA"/>
        </w:rPr>
        <w:t>终验证书之日起，</w:t>
      </w:r>
      <w:r>
        <w:rPr>
          <w:rFonts w:hint="eastAsia" w:ascii="仿宋" w:hAnsi="仿宋" w:eastAsia="仿宋" w:cs="Times New Roman"/>
          <w:color w:val="000000"/>
          <w:kern w:val="0"/>
          <w:sz w:val="24"/>
          <w:szCs w:val="24"/>
          <w:lang w:val="en-US" w:eastAsia="zh-CN" w:bidi="ar-SA"/>
        </w:rPr>
        <w:t>乙方</w:t>
      </w:r>
      <w:r>
        <w:rPr>
          <w:rFonts w:hint="eastAsia" w:ascii="仿宋" w:hAnsi="仿宋" w:eastAsia="仿宋" w:cs="Times New Roman"/>
          <w:color w:val="000000"/>
          <w:kern w:val="0"/>
          <w:sz w:val="24"/>
          <w:szCs w:val="20"/>
          <w:lang w:val="en-US" w:eastAsia="zh-CN" w:bidi="ar-SA"/>
        </w:rPr>
        <w:t>就所提供的应用软件为甲方提供为期</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]个月</w:t>
      </w:r>
      <w:r>
        <w:rPr>
          <w:rFonts w:hint="eastAsia" w:ascii="仿宋" w:hAnsi="仿宋" w:eastAsia="仿宋" w:cs="Times New Roman"/>
          <w:color w:val="000000"/>
          <w:kern w:val="0"/>
          <w:sz w:val="24"/>
          <w:szCs w:val="20"/>
          <w:lang w:val="en-US" w:eastAsia="zh-CN" w:bidi="ar-SA"/>
        </w:rPr>
        <w:t>的免费技术支持和服务（“保修期”）。</w:t>
      </w:r>
    </w:p>
    <w:p w14:paraId="51F2E1C2">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6.3在保修期内，如果乙方所提供的应用软件的性能和质量与合同规定不符，乙方</w:t>
      </w:r>
      <w:r>
        <w:rPr>
          <w:rFonts w:hint="eastAsia" w:ascii="仿宋" w:hAnsi="仿宋" w:eastAsia="仿宋" w:cs="Times New Roman"/>
          <w:color w:val="000000"/>
          <w:kern w:val="0"/>
          <w:sz w:val="24"/>
          <w:szCs w:val="24"/>
          <w:lang w:val="en-US" w:eastAsia="zh-CN" w:bidi="ar-SA"/>
        </w:rPr>
        <w:t>应当</w:t>
      </w:r>
      <w:r>
        <w:rPr>
          <w:rFonts w:ascii="仿宋" w:hAnsi="仿宋" w:eastAsia="仿宋" w:cs="Times New Roman"/>
          <w:color w:val="000000"/>
          <w:kern w:val="0"/>
          <w:sz w:val="24"/>
          <w:szCs w:val="20"/>
          <w:lang w:val="en-US" w:eastAsia="zh-CN" w:bidi="ar-SA"/>
        </w:rPr>
        <w:t>尽快排除缺陷，所有费用由乙方承担。</w:t>
      </w:r>
    </w:p>
    <w:p w14:paraId="70EB3949">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6.4在保修期内如果甲方的有关技术规范进行了修改，乙方承诺对应用软件进行免费升级。</w:t>
      </w:r>
    </w:p>
    <w:p w14:paraId="0A493963">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6.5在应用软件保修期满</w:t>
      </w:r>
      <w:r>
        <w:rPr>
          <w:rFonts w:hint="eastAsia" w:ascii="仿宋" w:hAnsi="仿宋" w:eastAsia="仿宋" w:cs="Times New Roman"/>
          <w:color w:val="000000"/>
          <w:kern w:val="0"/>
          <w:sz w:val="24"/>
          <w:szCs w:val="20"/>
          <w:lang w:val="en-US" w:eastAsia="zh-CN" w:bidi="ar-SA"/>
        </w:rPr>
        <w:t>后</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12</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个月内，对于由于乙方原因产生的软件缺陷及</w:t>
      </w:r>
      <w:r>
        <w:rPr>
          <w:rFonts w:ascii="仿宋" w:hAnsi="仿宋" w:eastAsia="仿宋" w:cs="Times New Roman"/>
          <w:color w:val="000000"/>
          <w:kern w:val="0"/>
          <w:sz w:val="24"/>
          <w:szCs w:val="20"/>
          <w:lang w:val="en-US" w:eastAsia="zh-CN" w:bidi="ar-SA"/>
        </w:rPr>
        <w:t>/或不合理情况，乙方免费提供应用软件补丁或升级。</w:t>
      </w:r>
    </w:p>
    <w:p w14:paraId="198CCF04">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6.6保修期内应用软件出现问题时，乙方响应时间不得超过四小时，故障修复时间不得超过</w:t>
      </w:r>
      <w:r>
        <w:rPr>
          <w:rFonts w:hint="eastAsia" w:ascii="仿宋" w:hAnsi="仿宋" w:eastAsia="仿宋" w:cs="Times New Roman"/>
          <w:color w:val="000000"/>
          <w:kern w:val="0"/>
          <w:sz w:val="24"/>
          <w:szCs w:val="20"/>
          <w:lang w:val="en-US" w:eastAsia="zh-CN" w:bidi="ar-SA"/>
        </w:rPr>
        <w:t>六小时，包括但不限于免费提供相同功能的应用软件给甲方使用，直至故障应用软件修复为止。在特殊情况下，如果乙方不能在上述期限内将替换或修复后的软件运至现场，双方协商故障应用软件修复或替换时间期限。如应用软件出现故障造成甲方损失的，由乙方承担。乙方应当具备相应的通信手段，以保证能够提供每天</w:t>
      </w:r>
      <w:r>
        <w:rPr>
          <w:rFonts w:ascii="仿宋" w:hAnsi="仿宋" w:eastAsia="仿宋" w:cs="Times New Roman"/>
          <w:color w:val="000000"/>
          <w:kern w:val="0"/>
          <w:sz w:val="24"/>
          <w:szCs w:val="20"/>
          <w:lang w:val="en-US" w:eastAsia="zh-CN" w:bidi="ar-SA"/>
        </w:rPr>
        <w:t>24小时、每周7天的响应服务（“7×24小时响应服务”）。</w:t>
      </w:r>
    </w:p>
    <w:p w14:paraId="2EC6C3F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6.7在保修期内，如果乙方进行了技术改进，且</w:t>
      </w:r>
      <w:r>
        <w:rPr>
          <w:rFonts w:hint="eastAsia" w:ascii="仿宋" w:hAnsi="仿宋" w:eastAsia="仿宋" w:cs="Times New Roman"/>
          <w:color w:val="000000"/>
          <w:kern w:val="0"/>
          <w:sz w:val="24"/>
          <w:szCs w:val="24"/>
          <w:lang w:val="en-US" w:eastAsia="zh-CN" w:bidi="ar-SA"/>
        </w:rPr>
        <w:t>该</w:t>
      </w:r>
      <w:r>
        <w:rPr>
          <w:rFonts w:ascii="仿宋" w:hAnsi="仿宋" w:eastAsia="仿宋" w:cs="Times New Roman"/>
          <w:color w:val="000000"/>
          <w:kern w:val="0"/>
          <w:sz w:val="24"/>
          <w:szCs w:val="20"/>
          <w:lang w:val="en-US" w:eastAsia="zh-CN" w:bidi="ar-SA"/>
        </w:rPr>
        <w:t>改进对甲方有重要意义并对软件运行维护有实用价值，乙方</w:t>
      </w:r>
      <w:r>
        <w:rPr>
          <w:rFonts w:ascii="仿宋" w:hAnsi="仿宋" w:eastAsia="仿宋" w:cs="Times New Roman"/>
          <w:color w:val="000000"/>
          <w:kern w:val="0"/>
          <w:sz w:val="24"/>
          <w:szCs w:val="24"/>
          <w:lang w:val="en-US" w:eastAsia="zh-CN" w:bidi="ar-SA"/>
        </w:rPr>
        <w:t>应</w:t>
      </w:r>
      <w:r>
        <w:rPr>
          <w:rFonts w:hint="eastAsia" w:ascii="仿宋" w:hAnsi="仿宋" w:eastAsia="仿宋" w:cs="Times New Roman"/>
          <w:color w:val="000000"/>
          <w:kern w:val="0"/>
          <w:sz w:val="24"/>
          <w:szCs w:val="24"/>
          <w:lang w:val="en-US" w:eastAsia="zh-CN" w:bidi="ar-SA"/>
        </w:rPr>
        <w:t>当</w:t>
      </w:r>
      <w:r>
        <w:rPr>
          <w:rFonts w:ascii="仿宋" w:hAnsi="仿宋" w:eastAsia="仿宋" w:cs="Times New Roman"/>
          <w:color w:val="000000"/>
          <w:kern w:val="0"/>
          <w:sz w:val="24"/>
          <w:szCs w:val="20"/>
          <w:lang w:val="en-US" w:eastAsia="zh-CN" w:bidi="ar-SA"/>
        </w:rPr>
        <w:t>免费向甲方提供与</w:t>
      </w:r>
      <w:r>
        <w:rPr>
          <w:rFonts w:hint="eastAsia" w:ascii="仿宋" w:hAnsi="仿宋" w:eastAsia="仿宋" w:cs="Times New Roman"/>
          <w:color w:val="000000"/>
          <w:kern w:val="0"/>
          <w:sz w:val="24"/>
          <w:szCs w:val="24"/>
          <w:lang w:val="en-US" w:eastAsia="zh-CN" w:bidi="ar-SA"/>
        </w:rPr>
        <w:t>该</w:t>
      </w:r>
      <w:r>
        <w:rPr>
          <w:rFonts w:ascii="仿宋" w:hAnsi="仿宋" w:eastAsia="仿宋" w:cs="Times New Roman"/>
          <w:color w:val="000000"/>
          <w:kern w:val="0"/>
          <w:sz w:val="24"/>
          <w:szCs w:val="20"/>
          <w:lang w:val="en-US" w:eastAsia="zh-CN" w:bidi="ar-SA"/>
        </w:rPr>
        <w:t>改进有关的详细技术资料和软件升级。</w:t>
      </w:r>
    </w:p>
    <w:p w14:paraId="757800AB">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6.8应用软件保修期满后，甲方签发</w:t>
      </w:r>
      <w:r>
        <w:rPr>
          <w:rFonts w:hint="eastAsia" w:ascii="仿宋" w:hAnsi="仿宋" w:eastAsia="仿宋" w:cs="Times New Roman"/>
          <w:color w:val="000000"/>
          <w:kern w:val="0"/>
          <w:sz w:val="24"/>
          <w:szCs w:val="20"/>
          <w:lang w:val="en-US" w:eastAsia="zh-CN" w:bidi="ar-SA"/>
        </w:rPr>
        <w:t>两份保修期满证书。</w:t>
      </w:r>
    </w:p>
    <w:p w14:paraId="3E4B71A8">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 xml:space="preserve">6.9保修期届满后的升级、改造费用，每个功能模块最高不超过本次合同总价中的对应功能模块价格，总的升级、改造费用每年最高不超过本次合同总价的[ </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color w:val="000000"/>
          <w:kern w:val="0"/>
          <w:sz w:val="24"/>
          <w:szCs w:val="20"/>
          <w:lang w:val="en-US" w:eastAsia="zh-CN" w:bidi="ar-SA"/>
        </w:rPr>
        <w:t>新功能模块增加开发费用，最高不超过本次应用软件成交后的相关功能模块价格或最复杂功能模块的价格，总的新功能模块的增加开发费用每年最高不超过本次合同总价的</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 xml:space="preserve"> ]%。</w:t>
      </w:r>
    </w:p>
    <w:p w14:paraId="1E2181F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6.10保修期届满后乙方继续提供服务的价格和方式</w:t>
      </w:r>
      <w:r>
        <w:rPr>
          <w:rFonts w:hint="eastAsia" w:ascii="仿宋" w:hAnsi="仿宋" w:eastAsia="仿宋" w:cs="Times New Roman"/>
          <w:color w:val="000000"/>
          <w:kern w:val="0"/>
          <w:sz w:val="24"/>
          <w:szCs w:val="20"/>
          <w:lang w:val="en-US" w:eastAsia="zh-CN" w:bidi="ar-SA"/>
        </w:rPr>
        <w:t>由双方另行协商确定。但乙方需保证保修期后给予甲方优惠的服务价格，且该价格不得高于本合同约定的有关价格。</w:t>
      </w:r>
    </w:p>
    <w:p w14:paraId="7CE77DD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6.11保修期届满后</w:t>
      </w:r>
      <w:r>
        <w:rPr>
          <w:rFonts w:hint="eastAsia" w:ascii="仿宋" w:hAnsi="仿宋" w:eastAsia="仿宋" w:cs="Times New Roman"/>
          <w:color w:val="000000"/>
          <w:kern w:val="0"/>
          <w:sz w:val="24"/>
          <w:szCs w:val="24"/>
          <w:lang w:val="en-US" w:eastAsia="zh-CN" w:bidi="ar-SA"/>
        </w:rPr>
        <w:t>，</w:t>
      </w:r>
      <w:r>
        <w:rPr>
          <w:rFonts w:ascii="仿宋" w:hAnsi="仿宋" w:eastAsia="仿宋" w:cs="Times New Roman"/>
          <w:color w:val="000000"/>
          <w:kern w:val="0"/>
          <w:sz w:val="24"/>
          <w:szCs w:val="20"/>
          <w:lang w:val="en-US" w:eastAsia="zh-CN" w:bidi="ar-SA"/>
        </w:rPr>
        <w:t>甲方在系统运行或维护过程中，</w:t>
      </w:r>
      <w:r>
        <w:rPr>
          <w:rFonts w:hint="eastAsia" w:ascii="仿宋" w:hAnsi="仿宋" w:eastAsia="仿宋" w:cs="Times New Roman"/>
          <w:color w:val="000000"/>
          <w:kern w:val="0"/>
          <w:sz w:val="24"/>
          <w:szCs w:val="24"/>
          <w:lang w:val="en-US" w:eastAsia="zh-CN" w:bidi="ar-SA"/>
        </w:rPr>
        <w:t>如果</w:t>
      </w:r>
      <w:r>
        <w:rPr>
          <w:rFonts w:ascii="仿宋" w:hAnsi="仿宋" w:eastAsia="仿宋" w:cs="Times New Roman"/>
          <w:color w:val="000000"/>
          <w:kern w:val="0"/>
          <w:sz w:val="24"/>
          <w:szCs w:val="20"/>
          <w:lang w:val="en-US" w:eastAsia="zh-CN" w:bidi="ar-SA"/>
        </w:rPr>
        <w:t>乙方所提供的应用软件出现问题或故障</w:t>
      </w:r>
      <w:r>
        <w:rPr>
          <w:rFonts w:ascii="仿宋" w:hAnsi="仿宋" w:eastAsia="仿宋" w:cs="Times New Roman"/>
          <w:color w:val="000000"/>
          <w:kern w:val="0"/>
          <w:sz w:val="24"/>
          <w:szCs w:val="24"/>
          <w:lang w:val="en-US" w:eastAsia="zh-CN" w:bidi="ar-SA"/>
        </w:rPr>
        <w:t>，</w:t>
      </w:r>
      <w:r>
        <w:rPr>
          <w:rFonts w:hint="eastAsia" w:ascii="仿宋" w:hAnsi="仿宋" w:eastAsia="仿宋" w:cs="Times New Roman"/>
          <w:color w:val="000000"/>
          <w:kern w:val="0"/>
          <w:sz w:val="24"/>
          <w:szCs w:val="24"/>
          <w:lang w:val="en-US" w:eastAsia="zh-CN" w:bidi="ar-SA"/>
        </w:rPr>
        <w:t>乙方</w:t>
      </w:r>
      <w:r>
        <w:rPr>
          <w:rFonts w:ascii="仿宋" w:hAnsi="仿宋" w:eastAsia="仿宋" w:cs="Times New Roman"/>
          <w:color w:val="000000"/>
          <w:kern w:val="0"/>
          <w:sz w:val="24"/>
          <w:szCs w:val="20"/>
          <w:lang w:val="en-US" w:eastAsia="zh-CN" w:bidi="ar-SA"/>
        </w:rPr>
        <w:t>应派有经验的技术人员，在[</w:t>
      </w:r>
      <w:r>
        <w:rPr>
          <w:rFonts w:hint="eastAsia" w:ascii="仿宋" w:hAnsi="仿宋" w:eastAsia="仿宋" w:cs="Times New Roman"/>
          <w:color w:val="000000"/>
          <w:kern w:val="0"/>
          <w:sz w:val="24"/>
          <w:szCs w:val="20"/>
          <w:lang w:val="en-US" w:eastAsia="zh-CN" w:bidi="ar-SA"/>
        </w:rPr>
        <w:t xml:space="preserve"> ≤2 </w:t>
      </w:r>
      <w:r>
        <w:rPr>
          <w:rFonts w:ascii="仿宋" w:hAnsi="仿宋" w:eastAsia="仿宋" w:cs="Times New Roman"/>
          <w:color w:val="000000"/>
          <w:kern w:val="0"/>
          <w:sz w:val="24"/>
          <w:szCs w:val="20"/>
          <w:lang w:val="en-US" w:eastAsia="zh-CN" w:bidi="ar-SA"/>
        </w:rPr>
        <w:t>]小时</w:t>
      </w:r>
      <w:r>
        <w:rPr>
          <w:rFonts w:hint="eastAsia" w:ascii="仿宋" w:hAnsi="仿宋" w:eastAsia="仿宋" w:cs="Times New Roman"/>
          <w:color w:val="000000"/>
          <w:kern w:val="0"/>
          <w:sz w:val="24"/>
          <w:szCs w:val="20"/>
          <w:lang w:val="en-US" w:eastAsia="zh-CN" w:bidi="ar-SA"/>
        </w:rPr>
        <w:t>赶到现场，</w:t>
      </w:r>
      <w:r>
        <w:rPr>
          <w:rFonts w:hint="eastAsia" w:ascii="仿宋" w:hAnsi="仿宋" w:eastAsia="仿宋" w:cs="Times New Roman"/>
          <w:color w:val="000000"/>
          <w:kern w:val="0"/>
          <w:sz w:val="24"/>
          <w:szCs w:val="24"/>
          <w:lang w:val="en-US" w:eastAsia="zh-CN" w:bidi="ar-SA"/>
        </w:rPr>
        <w:t>对应用软件</w:t>
      </w:r>
      <w:r>
        <w:rPr>
          <w:rFonts w:hint="eastAsia" w:ascii="仿宋" w:hAnsi="仿宋" w:eastAsia="仿宋" w:cs="Times New Roman"/>
          <w:color w:val="000000"/>
          <w:kern w:val="0"/>
          <w:sz w:val="24"/>
          <w:szCs w:val="20"/>
          <w:lang w:val="en-US" w:eastAsia="zh-CN" w:bidi="ar-SA"/>
        </w:rPr>
        <w:t>进行更换和维修。乙方</w:t>
      </w:r>
      <w:r>
        <w:rPr>
          <w:rFonts w:hint="eastAsia" w:ascii="仿宋" w:hAnsi="仿宋" w:eastAsia="仿宋" w:cs="Times New Roman"/>
          <w:color w:val="000000"/>
          <w:kern w:val="0"/>
          <w:sz w:val="24"/>
          <w:szCs w:val="24"/>
          <w:lang w:val="en-US" w:eastAsia="zh-CN" w:bidi="ar-SA"/>
        </w:rPr>
        <w:t>应运用</w:t>
      </w:r>
      <w:r>
        <w:rPr>
          <w:rFonts w:hint="eastAsia" w:ascii="仿宋" w:hAnsi="仿宋" w:eastAsia="仿宋" w:cs="Times New Roman"/>
          <w:color w:val="000000"/>
          <w:kern w:val="0"/>
          <w:sz w:val="24"/>
          <w:szCs w:val="20"/>
          <w:lang w:val="en-US" w:eastAsia="zh-CN" w:bidi="ar-SA"/>
        </w:rPr>
        <w:t>灵活、多样的通信手段</w:t>
      </w:r>
      <w:r>
        <w:rPr>
          <w:rFonts w:hint="eastAsia" w:ascii="仿宋" w:hAnsi="仿宋" w:eastAsia="仿宋" w:cs="Times New Roman"/>
          <w:color w:val="000000"/>
          <w:kern w:val="0"/>
          <w:sz w:val="24"/>
          <w:szCs w:val="24"/>
          <w:lang w:val="en-US" w:eastAsia="zh-CN" w:bidi="ar-SA"/>
        </w:rPr>
        <w:t>为甲方</w:t>
      </w:r>
      <w:r>
        <w:rPr>
          <w:rFonts w:hint="eastAsia" w:ascii="仿宋" w:hAnsi="仿宋" w:eastAsia="仿宋" w:cs="Times New Roman"/>
          <w:color w:val="000000"/>
          <w:kern w:val="0"/>
          <w:sz w:val="24"/>
          <w:szCs w:val="20"/>
          <w:lang w:val="en-US" w:eastAsia="zh-CN" w:bidi="ar-SA"/>
        </w:rPr>
        <w:t>提供</w:t>
      </w:r>
      <w:r>
        <w:rPr>
          <w:rFonts w:ascii="仿宋" w:hAnsi="仿宋" w:eastAsia="仿宋" w:cs="Times New Roman"/>
          <w:color w:val="000000"/>
          <w:kern w:val="0"/>
          <w:sz w:val="24"/>
          <w:szCs w:val="20"/>
          <w:lang w:val="en-US" w:eastAsia="zh-CN" w:bidi="ar-SA"/>
        </w:rPr>
        <w:t>7×24小时响应服务。</w:t>
      </w:r>
    </w:p>
    <w:p w14:paraId="7B3B2E0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w:t>
      </w:r>
      <w:r>
        <w:rPr>
          <w:rFonts w:ascii="仿宋" w:hAnsi="仿宋" w:eastAsia="仿宋" w:cs="Times New Roman"/>
          <w:color w:val="000000"/>
          <w:kern w:val="0"/>
          <w:sz w:val="24"/>
          <w:szCs w:val="24"/>
          <w:lang w:val="en-US" w:eastAsia="zh-CN" w:bidi="ar-SA"/>
        </w:rPr>
        <w:t>11</w:t>
      </w:r>
      <w:r>
        <w:rPr>
          <w:rFonts w:ascii="仿宋" w:hAnsi="仿宋" w:eastAsia="仿宋" w:cs="Times New Roman"/>
          <w:color w:val="000000"/>
          <w:kern w:val="0"/>
          <w:sz w:val="24"/>
          <w:szCs w:val="20"/>
          <w:lang w:val="en-US" w:eastAsia="zh-CN" w:bidi="ar-SA"/>
        </w:rPr>
        <w:t>保修期届满后</w:t>
      </w:r>
      <w:r>
        <w:rPr>
          <w:rFonts w:hint="eastAsia" w:ascii="仿宋" w:hAnsi="仿宋" w:eastAsia="仿宋" w:cs="Times New Roman"/>
          <w:color w:val="000000"/>
          <w:kern w:val="0"/>
          <w:sz w:val="24"/>
          <w:szCs w:val="20"/>
          <w:lang w:val="en-US" w:eastAsia="zh-CN" w:bidi="ar-SA"/>
        </w:rPr>
        <w:t>，如发现应用软件自身存在瑕疵或缺陷，乙方应予以免费更换或修理。</w:t>
      </w:r>
    </w:p>
    <w:p w14:paraId="7FA6659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6.</w:t>
      </w:r>
      <w:r>
        <w:rPr>
          <w:rFonts w:ascii="仿宋" w:hAnsi="仿宋" w:eastAsia="仿宋" w:cs="Times New Roman"/>
          <w:color w:val="000000"/>
          <w:kern w:val="0"/>
          <w:sz w:val="24"/>
          <w:szCs w:val="24"/>
          <w:lang w:val="en-US" w:eastAsia="zh-CN" w:bidi="ar-SA"/>
        </w:rPr>
        <w:t>12</w:t>
      </w:r>
      <w:r>
        <w:rPr>
          <w:rFonts w:hint="eastAsia" w:ascii="仿宋" w:hAnsi="仿宋" w:eastAsia="仿宋" w:cs="Times New Roman"/>
          <w:color w:val="000000"/>
          <w:kern w:val="0"/>
          <w:sz w:val="24"/>
          <w:szCs w:val="20"/>
          <w:lang w:val="en-US" w:eastAsia="zh-CN" w:bidi="ar-SA"/>
        </w:rPr>
        <w:t>如甲方变更本合同系统使用人、所有人和硬件所有人、持有人，书面通知乙方即可。</w:t>
      </w:r>
    </w:p>
    <w:p w14:paraId="40B161B9">
      <w:pPr>
        <w:widowControl w:val="0"/>
        <w:spacing w:line="360" w:lineRule="exact"/>
        <w:ind w:firstLine="482" w:firstLineChars="200"/>
        <w:jc w:val="both"/>
        <w:rPr>
          <w:rFonts w:ascii="仿宋" w:hAnsi="仿宋" w:eastAsia="仿宋" w:cs="Times New Roman"/>
          <w:b/>
          <w:color w:val="000000"/>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第七条培训</w:t>
      </w:r>
    </w:p>
    <w:p w14:paraId="63AAF42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7.1</w:t>
      </w:r>
      <w:r>
        <w:rPr>
          <w:rFonts w:hint="eastAsia" w:ascii="仿宋" w:hAnsi="仿宋" w:eastAsia="仿宋" w:cs="Times New Roman"/>
          <w:color w:val="000000"/>
          <w:kern w:val="0"/>
          <w:sz w:val="24"/>
          <w:szCs w:val="20"/>
          <w:lang w:val="en-US" w:eastAsia="zh-CN" w:bidi="ar-SA"/>
        </w:rPr>
        <w:t>双方确定，乙方应在向甲方移交应用软件后，根据甲方的要求，为甲方指定的人员提供技术指导和培训，使参加</w:t>
      </w:r>
      <w:r>
        <w:rPr>
          <w:rFonts w:hint="eastAsia" w:ascii="仿宋" w:hAnsi="仿宋" w:eastAsia="仿宋" w:cs="Times New Roman"/>
          <w:color w:val="000000"/>
          <w:kern w:val="0"/>
          <w:sz w:val="24"/>
          <w:szCs w:val="24"/>
          <w:lang w:val="en-US" w:eastAsia="zh-CN" w:bidi="ar-SA"/>
        </w:rPr>
        <w:t>培训</w:t>
      </w:r>
      <w:r>
        <w:rPr>
          <w:rFonts w:hint="eastAsia" w:ascii="仿宋" w:hAnsi="仿宋" w:eastAsia="仿宋" w:cs="Times New Roman"/>
          <w:color w:val="000000"/>
          <w:kern w:val="0"/>
          <w:sz w:val="24"/>
          <w:szCs w:val="20"/>
          <w:lang w:val="en-US" w:eastAsia="zh-CN" w:bidi="ar-SA"/>
        </w:rPr>
        <w:t>的人员理解并掌握软件的操作和维护。</w:t>
      </w:r>
    </w:p>
    <w:p w14:paraId="49341EDA">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7.2培训目的</w:t>
      </w:r>
    </w:p>
    <w:p w14:paraId="0D978063">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7.2.1确保甲方技术人员能够熟练地对应用软件进行运行、诊断、维护和管理。</w:t>
      </w:r>
    </w:p>
    <w:p w14:paraId="6E20209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7.2.2确保甲方相关业务人员对其使用的应用软件能熟练地操作和使用。</w:t>
      </w:r>
    </w:p>
    <w:p w14:paraId="0A28478B">
      <w:pPr>
        <w:spacing w:line="360" w:lineRule="exact"/>
        <w:ind w:firstLine="420" w:firstLineChars="200"/>
        <w:jc w:val="left"/>
        <w:rPr>
          <w:rFonts w:ascii="仿宋" w:hAnsi="仿宋" w:eastAsia="仿宋" w:cs="Times New Roman"/>
          <w:color w:val="000000"/>
        </w:rPr>
      </w:pPr>
      <w:r>
        <w:rPr>
          <w:rFonts w:ascii="仿宋" w:hAnsi="仿宋" w:eastAsia="仿宋" w:cs="Times New Roman"/>
          <w:color w:val="000000"/>
        </w:rPr>
        <w:t>7.3培训内容：[</w:t>
      </w:r>
      <w:r>
        <w:rPr>
          <w:rFonts w:hint="eastAsia" w:ascii="仿宋" w:hAnsi="仿宋" w:eastAsia="仿宋" w:cs="Times New Roman"/>
          <w:sz w:val="24"/>
        </w:rPr>
        <w:t>（1）</w:t>
      </w:r>
      <w:r>
        <w:rPr>
          <w:rFonts w:hint="eastAsia" w:ascii="仿宋" w:hAnsi="仿宋" w:eastAsia="仿宋" w:cs="Times New Roman"/>
          <w:sz w:val="24"/>
          <w:lang w:val="en-US" w:eastAsia="zh-CN"/>
        </w:rPr>
        <w:t>移动支付</w:t>
      </w:r>
      <w:r>
        <w:rPr>
          <w:rFonts w:hint="eastAsia" w:ascii="仿宋" w:hAnsi="仿宋" w:eastAsia="仿宋" w:cs="Times New Roman"/>
          <w:sz w:val="24"/>
        </w:rPr>
        <w:t>系统</w:t>
      </w:r>
      <w:r>
        <w:rPr>
          <w:rFonts w:hint="eastAsia" w:ascii="仿宋" w:hAnsi="仿宋" w:eastAsia="仿宋" w:cs="Times New Roman"/>
          <w:sz w:val="24"/>
          <w:lang w:eastAsia="zh-CN"/>
        </w:rPr>
        <w:t>、</w:t>
      </w:r>
      <w:r>
        <w:rPr>
          <w:rFonts w:hint="eastAsia" w:ascii="仿宋" w:hAnsi="仿宋" w:eastAsia="仿宋" w:cs="Times New Roman"/>
          <w:sz w:val="24"/>
        </w:rPr>
        <w:t>（</w:t>
      </w:r>
      <w:r>
        <w:rPr>
          <w:rFonts w:hint="eastAsia" w:ascii="仿宋" w:hAnsi="仿宋" w:eastAsia="仿宋" w:cs="Times New Roman"/>
          <w:sz w:val="24"/>
          <w:lang w:val="en-US" w:eastAsia="zh-CN"/>
        </w:rPr>
        <w:t>2</w:t>
      </w:r>
      <w:r>
        <w:rPr>
          <w:rFonts w:hint="eastAsia" w:ascii="仿宋" w:hAnsi="仿宋" w:eastAsia="仿宋" w:cs="Times New Roman"/>
          <w:sz w:val="24"/>
        </w:rPr>
        <w:t>）系统使用与管理</w:t>
      </w:r>
      <w:r>
        <w:rPr>
          <w:rFonts w:hint="eastAsia" w:ascii="仿宋" w:hAnsi="仿宋" w:eastAsia="仿宋" w:cs="Times New Roman"/>
          <w:sz w:val="24"/>
          <w:lang w:eastAsia="zh-CN"/>
        </w:rPr>
        <w:t>、</w:t>
      </w:r>
      <w:r>
        <w:rPr>
          <w:rFonts w:hint="eastAsia" w:ascii="仿宋" w:hAnsi="仿宋" w:eastAsia="仿宋" w:cs="Times New Roman"/>
          <w:sz w:val="24"/>
        </w:rPr>
        <w:t>（</w:t>
      </w:r>
      <w:r>
        <w:rPr>
          <w:rFonts w:hint="eastAsia" w:ascii="仿宋" w:hAnsi="仿宋" w:eastAsia="仿宋" w:cs="Times New Roman"/>
          <w:sz w:val="24"/>
          <w:lang w:val="en-US" w:eastAsia="zh-CN"/>
        </w:rPr>
        <w:t>3</w:t>
      </w:r>
      <w:r>
        <w:rPr>
          <w:rFonts w:hint="eastAsia" w:ascii="仿宋" w:hAnsi="仿宋" w:eastAsia="仿宋" w:cs="Times New Roman"/>
          <w:sz w:val="24"/>
        </w:rPr>
        <w:t>）掌握其他与本合同项目相关的知识与信息</w:t>
      </w:r>
      <w:r>
        <w:rPr>
          <w:rFonts w:ascii="仿宋" w:hAnsi="仿宋" w:eastAsia="仿宋" w:cs="Times New Roman"/>
          <w:color w:val="000000"/>
        </w:rPr>
        <w:t>]。</w:t>
      </w:r>
    </w:p>
    <w:p w14:paraId="4AA410F3">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7.4培训时间与地点</w:t>
      </w:r>
    </w:p>
    <w:p w14:paraId="0F7D5758">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乙方在甲方所在地为甲方提供不少于</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3</w:t>
      </w:r>
      <w:r>
        <w:rPr>
          <w:rFonts w:ascii="仿宋" w:hAnsi="仿宋" w:eastAsia="仿宋" w:cs="Times New Roman"/>
          <w:color w:val="000000"/>
          <w:kern w:val="0"/>
          <w:sz w:val="24"/>
          <w:szCs w:val="20"/>
          <w:lang w:val="en-US" w:eastAsia="zh-CN" w:bidi="ar-SA"/>
        </w:rPr>
        <w:t xml:space="preserve"> ]个工作日</w:t>
      </w:r>
      <w:r>
        <w:rPr>
          <w:rFonts w:hint="eastAsia" w:ascii="仿宋" w:hAnsi="仿宋" w:eastAsia="仿宋" w:cs="Times New Roman"/>
          <w:color w:val="000000"/>
          <w:kern w:val="0"/>
          <w:sz w:val="24"/>
          <w:szCs w:val="20"/>
          <w:lang w:val="en-US" w:eastAsia="zh-CN" w:bidi="ar-SA"/>
        </w:rPr>
        <w:t>的技术培训，具体培训时间由双方协商决定。甲方应在培训日前</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7</w:t>
      </w:r>
      <w:r>
        <w:rPr>
          <w:rFonts w:ascii="仿宋" w:hAnsi="仿宋" w:eastAsia="仿宋" w:cs="Times New Roman"/>
          <w:color w:val="000000"/>
          <w:kern w:val="0"/>
          <w:sz w:val="24"/>
          <w:szCs w:val="20"/>
          <w:lang w:val="en-US" w:eastAsia="zh-CN" w:bidi="ar-SA"/>
        </w:rPr>
        <w:t xml:space="preserve"> ]日</w:t>
      </w:r>
      <w:r>
        <w:rPr>
          <w:rFonts w:hint="eastAsia" w:ascii="仿宋" w:hAnsi="仿宋" w:eastAsia="仿宋" w:cs="Times New Roman"/>
          <w:color w:val="000000"/>
          <w:kern w:val="0"/>
          <w:sz w:val="24"/>
          <w:szCs w:val="20"/>
          <w:lang w:val="en-US" w:eastAsia="zh-CN" w:bidi="ar-SA"/>
        </w:rPr>
        <w:t>内向乙方提供参加培训的人员名单</w:t>
      </w:r>
      <w:r>
        <w:rPr>
          <w:rFonts w:hint="eastAsia" w:ascii="仿宋" w:hAnsi="仿宋" w:eastAsia="仿宋" w:cs="Times New Roman"/>
          <w:color w:val="000000"/>
          <w:kern w:val="0"/>
          <w:sz w:val="24"/>
          <w:szCs w:val="24"/>
          <w:lang w:val="en-US" w:eastAsia="zh-CN" w:bidi="ar-SA"/>
        </w:rPr>
        <w:t>。</w:t>
      </w:r>
      <w:r>
        <w:rPr>
          <w:rFonts w:hint="eastAsia" w:ascii="仿宋" w:hAnsi="仿宋" w:eastAsia="仿宋" w:cs="Times New Roman"/>
          <w:color w:val="000000"/>
          <w:kern w:val="0"/>
          <w:sz w:val="24"/>
          <w:szCs w:val="20"/>
          <w:lang w:val="en-US" w:eastAsia="zh-CN" w:bidi="ar-SA"/>
        </w:rPr>
        <w:t>由于培训产生的所有费用由已经包含在合同总价中。</w:t>
      </w:r>
    </w:p>
    <w:p w14:paraId="21862A72">
      <w:pPr>
        <w:widowControl w:val="0"/>
        <w:spacing w:line="360" w:lineRule="exact"/>
        <w:ind w:firstLine="482" w:firstLineChars="200"/>
        <w:jc w:val="both"/>
        <w:rPr>
          <w:rFonts w:ascii="仿宋" w:hAnsi="仿宋" w:eastAsia="仿宋_GB2312" w:cs="Times New Roman"/>
          <w:color w:val="000000"/>
          <w:kern w:val="0"/>
          <w:sz w:val="24"/>
          <w:szCs w:val="20"/>
          <w:lang w:val="en-US" w:eastAsia="zh-CN" w:bidi="ar-SA"/>
        </w:rPr>
      </w:pPr>
      <w:bookmarkStart w:id="1534" w:name="_Toc33253832"/>
      <w:r>
        <w:rPr>
          <w:rFonts w:hint="eastAsia" w:ascii="仿宋" w:hAnsi="仿宋" w:eastAsia="仿宋" w:cs="Times New Roman"/>
          <w:b/>
          <w:color w:val="000000"/>
          <w:kern w:val="0"/>
          <w:sz w:val="24"/>
          <w:szCs w:val="20"/>
          <w:lang w:val="en-US" w:eastAsia="zh-CN" w:bidi="ar-SA"/>
        </w:rPr>
        <w:t>第八条违约责任</w:t>
      </w:r>
      <w:bookmarkEnd w:id="1534"/>
    </w:p>
    <w:p w14:paraId="23D7236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8</w:t>
      </w:r>
      <w:r>
        <w:rPr>
          <w:rFonts w:ascii="仿宋" w:hAnsi="仿宋" w:eastAsia="仿宋" w:cs="Times New Roman"/>
          <w:color w:val="000000"/>
          <w:kern w:val="0"/>
          <w:sz w:val="24"/>
          <w:szCs w:val="20"/>
          <w:lang w:val="en-US" w:eastAsia="zh-CN" w:bidi="ar-SA"/>
        </w:rPr>
        <w:t>.1如乙方提供的系统软件许可使用权限、数量、范围、期限等与本合同及附件不符，或软件介质存在瑕疵，甲方有权解除合同或要求乙方按照本合同第</w:t>
      </w:r>
      <w:r>
        <w:rPr>
          <w:rFonts w:hint="eastAsia" w:ascii="仿宋" w:hAnsi="仿宋" w:eastAsia="仿宋" w:cs="Times New Roman"/>
          <w:color w:val="000000"/>
          <w:kern w:val="0"/>
          <w:sz w:val="24"/>
          <w:szCs w:val="20"/>
          <w:lang w:val="en-US" w:eastAsia="zh-CN" w:bidi="ar-SA"/>
        </w:rPr>
        <w:t>13</w:t>
      </w:r>
      <w:r>
        <w:rPr>
          <w:rFonts w:ascii="仿宋" w:hAnsi="仿宋" w:eastAsia="仿宋" w:cs="Times New Roman"/>
          <w:color w:val="000000"/>
          <w:kern w:val="0"/>
          <w:sz w:val="24"/>
          <w:szCs w:val="20"/>
          <w:lang w:val="en-US" w:eastAsia="zh-CN" w:bidi="ar-SA"/>
        </w:rPr>
        <w:t>.9条的规定采取措施并承担责任。</w:t>
      </w:r>
    </w:p>
    <w:p w14:paraId="5E9B256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8</w:t>
      </w:r>
      <w:r>
        <w:rPr>
          <w:rFonts w:ascii="仿宋" w:hAnsi="仿宋" w:eastAsia="仿宋" w:cs="Times New Roman"/>
          <w:color w:val="000000"/>
          <w:sz w:val="24"/>
        </w:rPr>
        <w:t>.2由于乙方原因使得</w:t>
      </w:r>
      <w:r>
        <w:rPr>
          <w:rFonts w:hint="eastAsia" w:ascii="仿宋" w:hAnsi="仿宋" w:eastAsia="仿宋" w:cs="Times New Roman"/>
          <w:color w:val="000000"/>
          <w:sz w:val="24"/>
        </w:rPr>
        <w:t>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乙方应每天按相当于合同总价</w:t>
      </w:r>
      <w:r>
        <w:rPr>
          <w:rFonts w:ascii="仿宋" w:hAnsi="仿宋" w:eastAsia="仿宋" w:cs="Times New Roman"/>
          <w:color w:val="000000"/>
          <w:sz w:val="24"/>
        </w:rPr>
        <w:t>[1]%</w:t>
      </w:r>
      <w:r>
        <w:rPr>
          <w:rFonts w:hint="eastAsia" w:ascii="仿宋" w:hAnsi="仿宋" w:eastAsia="仿宋" w:cs="Times New Roman"/>
          <w:color w:val="000000"/>
          <w:sz w:val="24"/>
        </w:rPr>
        <w:t>的标准支付违约金。迟延履行不足</w:t>
      </w:r>
      <w:r>
        <w:rPr>
          <w:rFonts w:ascii="仿宋" w:hAnsi="仿宋" w:eastAsia="仿宋" w:cs="Times New Roman"/>
          <w:color w:val="000000"/>
          <w:sz w:val="24"/>
        </w:rPr>
        <w:t>1天时按1天计算。因任一阶段工作</w:t>
      </w:r>
      <w:r>
        <w:rPr>
          <w:rFonts w:hint="eastAsia" w:ascii="仿宋" w:hAnsi="仿宋" w:eastAsia="仿宋" w:cs="Times New Roman"/>
          <w:color w:val="000000"/>
          <w:sz w:val="24"/>
        </w:rPr>
        <w:t>迟延而使甲方额外增加的各项费用</w:t>
      </w:r>
      <w:r>
        <w:rPr>
          <w:rFonts w:ascii="仿宋" w:hAnsi="仿宋" w:eastAsia="仿宋" w:cs="Times New Roman"/>
          <w:color w:val="000000"/>
          <w:sz w:val="24"/>
        </w:rPr>
        <w:t>（包括但不限于运输及保险费用、测试费用）</w:t>
      </w:r>
      <w:r>
        <w:rPr>
          <w:rFonts w:hint="eastAsia" w:ascii="仿宋" w:hAnsi="仿宋" w:eastAsia="仿宋" w:cs="Times New Roman"/>
          <w:color w:val="000000"/>
          <w:sz w:val="24"/>
        </w:rPr>
        <w:t>由乙方承担。如乙方任一阶段工作迟延使甲方遭受损失的，乙方应赔偿甲方由此造成的损失。</w:t>
      </w:r>
    </w:p>
    <w:p w14:paraId="28D1A719">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并且，如乙方任一阶段工作迟延，其迟延违约金的数额累计达到本合同总价的</w:t>
      </w:r>
      <w:r>
        <w:rPr>
          <w:rFonts w:ascii="仿宋" w:hAnsi="仿宋" w:eastAsia="仿宋" w:cs="Times New Roman"/>
          <w:color w:val="000000"/>
          <w:sz w:val="24"/>
        </w:rPr>
        <w:t>[10]%</w:t>
      </w:r>
      <w:r>
        <w:rPr>
          <w:rFonts w:hint="eastAsia" w:ascii="仿宋" w:hAnsi="仿宋" w:eastAsia="仿宋" w:cs="Times New Roman"/>
          <w:color w:val="000000"/>
          <w:sz w:val="24"/>
        </w:rPr>
        <w:t>或迟延达</w:t>
      </w:r>
      <w:r>
        <w:rPr>
          <w:rFonts w:ascii="仿宋" w:hAnsi="仿宋" w:eastAsia="仿宋" w:cs="Times New Roman"/>
          <w:color w:val="000000"/>
          <w:sz w:val="24"/>
        </w:rPr>
        <w:t>7天</w:t>
      </w:r>
      <w:r>
        <w:rPr>
          <w:rFonts w:hint="eastAsia" w:ascii="仿宋" w:hAnsi="仿宋" w:eastAsia="仿宋" w:cs="Times New Roman"/>
          <w:color w:val="000000"/>
          <w:sz w:val="24"/>
        </w:rPr>
        <w:t>时，甲方有权解除本合同。该等解除并不免除乙方根据甲方要求应当承担的上述违约责任。</w:t>
      </w:r>
    </w:p>
    <w:p w14:paraId="536B4E7B">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8</w:t>
      </w:r>
      <w:r>
        <w:rPr>
          <w:rFonts w:ascii="仿宋" w:hAnsi="仿宋" w:eastAsia="仿宋" w:cs="Times New Roman"/>
          <w:color w:val="000000"/>
          <w:kern w:val="0"/>
          <w:sz w:val="24"/>
          <w:szCs w:val="20"/>
          <w:lang w:val="en-US" w:eastAsia="zh-CN" w:bidi="ar-SA"/>
        </w:rPr>
        <w:t>.3保修期内，如乙方未能按合同规定及时提供服务，除本合同规定的不可抗力原因外,每迟延</w:t>
      </w:r>
      <w:r>
        <w:rPr>
          <w:rFonts w:hint="eastAsia" w:ascii="仿宋" w:hAnsi="仿宋" w:eastAsia="仿宋" w:cs="Times New Roman"/>
          <w:color w:val="000000"/>
          <w:kern w:val="0"/>
          <w:sz w:val="24"/>
          <w:szCs w:val="20"/>
          <w:lang w:val="en-US" w:eastAsia="zh-CN" w:bidi="ar-SA"/>
        </w:rPr>
        <w:t>一次，乙方应当支付合同总价的</w:t>
      </w:r>
      <w:r>
        <w:rPr>
          <w:rFonts w:ascii="仿宋" w:hAnsi="仿宋" w:eastAsia="仿宋" w:cs="Times New Roman"/>
          <w:color w:val="000000"/>
          <w:kern w:val="0"/>
          <w:sz w:val="24"/>
          <w:szCs w:val="20"/>
          <w:lang w:val="en-US" w:eastAsia="zh-CN" w:bidi="ar-SA"/>
        </w:rPr>
        <w:t>5‰</w:t>
      </w:r>
      <w:r>
        <w:rPr>
          <w:rFonts w:hint="eastAsia" w:ascii="仿宋" w:hAnsi="仿宋" w:eastAsia="仿宋" w:cs="Times New Roman"/>
          <w:color w:val="000000"/>
          <w:kern w:val="0"/>
          <w:sz w:val="24"/>
          <w:szCs w:val="20"/>
          <w:lang w:val="en-US" w:eastAsia="zh-CN" w:bidi="ar-SA"/>
        </w:rPr>
        <w:t>的违约金。</w:t>
      </w:r>
    </w:p>
    <w:p w14:paraId="55EAB62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8</w:t>
      </w:r>
      <w:r>
        <w:rPr>
          <w:rFonts w:ascii="仿宋" w:hAnsi="仿宋" w:eastAsia="仿宋" w:cs="Times New Roman"/>
          <w:color w:val="000000"/>
          <w:sz w:val="24"/>
        </w:rPr>
        <w:t>.4对于乙方依据本合同约定应当承担的各项违约金及损失赔偿，甲方均有权依据本合同</w:t>
      </w:r>
      <w:r>
        <w:rPr>
          <w:rFonts w:hint="eastAsia" w:ascii="仿宋" w:hAnsi="仿宋" w:eastAsia="仿宋" w:cs="Times New Roman"/>
          <w:color w:val="000000"/>
          <w:sz w:val="24"/>
        </w:rPr>
        <w:t>第</w:t>
      </w:r>
      <w:r>
        <w:rPr>
          <w:rFonts w:ascii="仿宋" w:hAnsi="仿宋" w:eastAsia="仿宋" w:cs="Times New Roman"/>
          <w:color w:val="000000"/>
          <w:sz w:val="24"/>
        </w:rPr>
        <w:t>4.5条</w:t>
      </w:r>
      <w:r>
        <w:rPr>
          <w:rFonts w:hint="eastAsia" w:ascii="仿宋" w:hAnsi="仿宋" w:eastAsia="仿宋" w:cs="Times New Roman"/>
          <w:color w:val="000000"/>
          <w:sz w:val="24"/>
        </w:rPr>
        <w:t>规定从应支付乙方的款项中扣除。除按照本合同的约定向甲方承担违约责任、赔偿责任外，还应当承担甲方为追究乙方违约责任、赔偿责任而支出的各项费用（包括但不限于律师费、诉讼费、保全费、财产保全担保费等）。如乙方对前述扣款事项有异议，应在接到甲方通知后五日内提出。</w:t>
      </w:r>
    </w:p>
    <w:p w14:paraId="14FAE3C4">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8</w:t>
      </w:r>
      <w:r>
        <w:rPr>
          <w:rFonts w:ascii="仿宋" w:hAnsi="仿宋" w:eastAsia="仿宋" w:cs="Times New Roman"/>
          <w:color w:val="000000"/>
          <w:sz w:val="24"/>
        </w:rPr>
        <w:t>.5</w:t>
      </w:r>
      <w:r>
        <w:rPr>
          <w:rFonts w:hint="eastAsia" w:ascii="仿宋" w:hAnsi="仿宋" w:eastAsia="仿宋" w:cs="Times New Roman"/>
          <w:color w:val="000000"/>
          <w:sz w:val="24"/>
        </w:rPr>
        <w:t>如甲方依据本合同约定解除合同，则乙方除应当依据本合同约定承担违约责任和赔偿责任（包括支付违约金、赔偿甲方由此遭受的损失等）外，乙方还应当退还甲方已支付的全部款项及</w:t>
      </w:r>
      <w:r>
        <w:rPr>
          <w:rFonts w:ascii="仿宋" w:hAnsi="仿宋" w:eastAsia="仿宋" w:cs="Times New Roman"/>
          <w:color w:val="000000"/>
          <w:sz w:val="24"/>
        </w:rPr>
        <w:t>自甲方付款之日起至乙方退还款项之日止的利息</w:t>
      </w:r>
      <w:r>
        <w:rPr>
          <w:rFonts w:hint="eastAsia" w:ascii="仿宋" w:hAnsi="仿宋" w:eastAsia="仿宋" w:cs="Times New Roman"/>
          <w:color w:val="000000"/>
          <w:sz w:val="24"/>
        </w:rPr>
        <w:t>（按照付款时中国人民银行授权全国银行间同业拆借中心公布的一年期贷款市场报价利率（</w:t>
      </w:r>
      <w:r>
        <w:rPr>
          <w:rFonts w:ascii="仿宋" w:hAnsi="仿宋" w:eastAsia="仿宋" w:cs="Times New Roman"/>
          <w:color w:val="000000"/>
          <w:sz w:val="24"/>
        </w:rPr>
        <w:t>LPR）标准计算）</w:t>
      </w:r>
      <w:r>
        <w:rPr>
          <w:rFonts w:hint="eastAsia" w:ascii="仿宋" w:hAnsi="仿宋" w:eastAsia="仿宋" w:cs="Times New Roman"/>
          <w:color w:val="000000"/>
          <w:sz w:val="24"/>
        </w:rPr>
        <w:t>。</w:t>
      </w:r>
    </w:p>
    <w:p w14:paraId="49ACA78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8</w:t>
      </w:r>
      <w:r>
        <w:rPr>
          <w:rFonts w:ascii="仿宋" w:hAnsi="仿宋" w:eastAsia="仿宋" w:cs="Times New Roman"/>
          <w:color w:val="000000"/>
          <w:sz w:val="24"/>
        </w:rPr>
        <w:t>.6除非甲方解除合同，否则，乙方承担违约责任并不免除其继续履行合同的责任。</w:t>
      </w:r>
    </w:p>
    <w:p w14:paraId="37E96951">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8</w:t>
      </w:r>
      <w:r>
        <w:rPr>
          <w:rFonts w:ascii="仿宋" w:hAnsi="仿宋" w:eastAsia="仿宋" w:cs="Times New Roman"/>
          <w:color w:val="000000"/>
          <w:sz w:val="24"/>
        </w:rPr>
        <w:t>.7如果因为甲方原因使得合同</w:t>
      </w:r>
      <w:r>
        <w:rPr>
          <w:rFonts w:hint="eastAsia" w:ascii="仿宋" w:hAnsi="仿宋" w:eastAsia="仿宋" w:cs="Times New Roman"/>
          <w:color w:val="000000"/>
          <w:sz w:val="24"/>
        </w:rPr>
        <w:t>未能如期</w:t>
      </w:r>
      <w:r>
        <w:rPr>
          <w:rFonts w:ascii="仿宋" w:hAnsi="仿宋" w:eastAsia="仿宋" w:cs="Times New Roman"/>
          <w:color w:val="000000"/>
          <w:sz w:val="24"/>
        </w:rPr>
        <w:t>履行，则在得到甲方书面确认后</w:t>
      </w:r>
      <w:r>
        <w:rPr>
          <w:rFonts w:hint="eastAsia" w:ascii="仿宋" w:hAnsi="仿宋" w:eastAsia="仿宋" w:cs="Times New Roman"/>
          <w:color w:val="000000"/>
          <w:sz w:val="24"/>
        </w:rPr>
        <w:t>合同履行</w:t>
      </w:r>
      <w:r>
        <w:rPr>
          <w:rFonts w:ascii="仿宋" w:hAnsi="仿宋" w:eastAsia="仿宋" w:cs="Times New Roman"/>
          <w:color w:val="000000"/>
          <w:sz w:val="24"/>
        </w:rPr>
        <w:t>时间相应顺延。</w:t>
      </w:r>
    </w:p>
    <w:p w14:paraId="1D717869">
      <w:pPr>
        <w:spacing w:line="360" w:lineRule="exact"/>
        <w:ind w:firstLine="480" w:firstLineChars="200"/>
        <w:rPr>
          <w:rFonts w:ascii="仿宋" w:hAnsi="仿宋" w:eastAsia="仿宋" w:cs="仿宋"/>
          <w:color w:val="000000"/>
          <w:sz w:val="24"/>
        </w:rPr>
      </w:pPr>
      <w:r>
        <w:rPr>
          <w:rFonts w:ascii="仿宋" w:hAnsi="仿宋" w:eastAsia="仿宋" w:cs="仿宋"/>
          <w:color w:val="000000"/>
          <w:sz w:val="24"/>
        </w:rPr>
        <w:t>8.8</w:t>
      </w:r>
      <w:r>
        <w:rPr>
          <w:rFonts w:hint="eastAsia" w:ascii="仿宋" w:hAnsi="仿宋" w:eastAsia="仿宋" w:cs="仿宋"/>
          <w:color w:val="000000"/>
          <w:sz w:val="24"/>
        </w:rPr>
        <w:t>本合同履行过程中，如乙方发生以下任一情形的，甲方有权视情节严重程度采取中止或终止履行合同、解除合同等措施并不承担违约责任。如该情形导致第三方向甲方提出法律或行政程序，乙方应负责解决。如该情形给甲方造成损失的，乙方应全额赔偿：</w:t>
      </w:r>
    </w:p>
    <w:p w14:paraId="7A44193E">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w:t>
      </w:r>
      <w:r>
        <w:rPr>
          <w:rFonts w:hint="eastAsia" w:ascii="仿宋" w:hAnsi="仿宋" w:eastAsia="仿宋" w:cs="Times New Roman"/>
          <w:color w:val="000000"/>
          <w:sz w:val="24"/>
        </w:rPr>
        <w:t>）被行政机关纳入“严重违法失信”名单；</w:t>
      </w:r>
    </w:p>
    <w:p w14:paraId="4444F301">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w:t>
      </w:r>
      <w:r>
        <w:rPr>
          <w:rFonts w:hint="eastAsia" w:ascii="仿宋" w:hAnsi="仿宋" w:eastAsia="仿宋" w:cs="Times New Roman"/>
          <w:color w:val="000000"/>
          <w:sz w:val="24"/>
        </w:rPr>
        <w:t>）被人民法院纳入“失信被执行人”名单；</w:t>
      </w:r>
    </w:p>
    <w:p w14:paraId="6F58A91C">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w:t>
      </w:r>
      <w:r>
        <w:rPr>
          <w:rFonts w:hint="eastAsia" w:ascii="仿宋" w:hAnsi="仿宋" w:eastAsia="仿宋" w:cs="Times New Roman"/>
          <w:color w:val="000000"/>
          <w:sz w:val="24"/>
        </w:rPr>
        <w:t xml:space="preserve">被甲方（含甲方上级单位）纳入违规失信合作商名单； </w:t>
      </w:r>
    </w:p>
    <w:p w14:paraId="7A64C902">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w:t>
      </w:r>
      <w:r>
        <w:rPr>
          <w:rFonts w:hint="eastAsia" w:ascii="仿宋" w:hAnsi="仿宋" w:eastAsia="仿宋" w:cs="Times New Roman"/>
          <w:color w:val="000000"/>
          <w:sz w:val="24"/>
        </w:rPr>
        <w:t>如存在网络和信息安全违法、违规行为的</w:t>
      </w:r>
      <w:r>
        <w:rPr>
          <w:rFonts w:ascii="仿宋" w:hAnsi="仿宋" w:eastAsia="仿宋" w:cs="Times New Roman"/>
          <w:color w:val="000000"/>
          <w:sz w:val="24"/>
        </w:rPr>
        <w:t xml:space="preserve">,包括但不限于因网络和信息安全问题承担刑事责任或受到行政处罚，被列入各级公安机关的涉通讯信息诈骗违法犯罪高危自然人或法人名单、电信业务经营不良名单、失信名单等; </w:t>
      </w:r>
    </w:p>
    <w:p w14:paraId="1D04F4F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5）</w:t>
      </w:r>
      <w:r>
        <w:rPr>
          <w:rFonts w:hint="eastAsia" w:ascii="仿宋" w:hAnsi="仿宋" w:eastAsia="仿宋" w:cs="Times New Roman"/>
          <w:color w:val="000000"/>
          <w:sz w:val="24"/>
        </w:rPr>
        <w:t>中标通知书</w:t>
      </w:r>
      <w:r>
        <w:rPr>
          <w:rFonts w:ascii="仿宋" w:hAnsi="仿宋" w:eastAsia="仿宋" w:cs="Times New Roman"/>
          <w:color w:val="000000"/>
          <w:sz w:val="24"/>
        </w:rPr>
        <w:t>/中选通知书/成交通知书发出或对应的合同签署后，发现乙方存在中标无效/中选无效/成交无效的情形或者存在应当被否决投标/否决参选/否决应答的情形；</w:t>
      </w:r>
    </w:p>
    <w:p w14:paraId="12DF600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6）</w:t>
      </w:r>
      <w:r>
        <w:rPr>
          <w:rFonts w:hint="eastAsia" w:ascii="仿宋" w:hAnsi="仿宋" w:eastAsia="仿宋" w:cs="Times New Roman"/>
          <w:color w:val="000000"/>
          <w:sz w:val="24"/>
        </w:rPr>
        <w:t>其他相关法律法规规定或有权机关认定的违法失信情形，以及可能导致合同履行风险或侵害甲方合法权益或声誉的违规失信情形。</w:t>
      </w:r>
    </w:p>
    <w:p w14:paraId="02F1C443">
      <w:pPr>
        <w:widowControl w:val="0"/>
        <w:ind w:firstLine="482"/>
        <w:jc w:val="both"/>
        <w:rPr>
          <w:rFonts w:ascii="Times New Roman" w:hAnsi="Times New Roman" w:eastAsia="仿宋_GB2312" w:cs="Times New Roman"/>
          <w:b/>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第九条不可抗力</w:t>
      </w:r>
    </w:p>
    <w:p w14:paraId="3EEF38D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9</w:t>
      </w:r>
      <w:r>
        <w:rPr>
          <w:rFonts w:ascii="仿宋" w:hAnsi="仿宋" w:eastAsia="仿宋" w:cs="Times New Roman"/>
          <w:color w:val="000000"/>
          <w:kern w:val="0"/>
          <w:sz w:val="24"/>
          <w:szCs w:val="20"/>
          <w:lang w:val="en-US" w:eastAsia="zh-CN" w:bidi="ar-SA"/>
        </w:rPr>
        <w:t>.1</w:t>
      </w:r>
      <w:r>
        <w:rPr>
          <w:rFonts w:ascii="仿宋" w:hAnsi="仿宋" w:eastAsia="仿宋_GB2312" w:cs="Times New Roman"/>
          <w:color w:val="000000"/>
          <w:kern w:val="0"/>
          <w:sz w:val="24"/>
          <w:szCs w:val="20"/>
          <w:lang w:val="en-US" w:eastAsia="zh-CN" w:bidi="ar-SA"/>
        </w:rPr>
        <w:t>本</w:t>
      </w:r>
      <w:r>
        <w:rPr>
          <w:rFonts w:ascii="仿宋" w:hAnsi="仿宋" w:eastAsia="仿宋" w:cs="Times New Roman"/>
          <w:kern w:val="0"/>
          <w:sz w:val="24"/>
          <w:szCs w:val="20"/>
          <w:lang w:val="en-US" w:eastAsia="zh-CN" w:bidi="ar-SA"/>
        </w:rPr>
        <w:t>合同所称不可抗力，是指地震、台风、水灾、火灾、战争</w:t>
      </w:r>
      <w:r>
        <w:rPr>
          <w:rFonts w:hint="eastAsia" w:ascii="仿宋" w:hAnsi="仿宋" w:eastAsia="仿宋" w:cs="Times New Roman"/>
          <w:kern w:val="0"/>
          <w:sz w:val="24"/>
          <w:szCs w:val="20"/>
          <w:lang w:val="en-US" w:eastAsia="zh-CN" w:bidi="ar-SA"/>
        </w:rPr>
        <w:t>等</w:t>
      </w:r>
      <w:r>
        <w:rPr>
          <w:rFonts w:ascii="仿宋" w:hAnsi="仿宋" w:eastAsia="仿宋" w:cs="Times New Roman"/>
          <w:kern w:val="0"/>
          <w:sz w:val="24"/>
          <w:szCs w:val="20"/>
          <w:lang w:val="en-US" w:eastAsia="zh-CN" w:bidi="ar-SA"/>
        </w:rPr>
        <w:t>本合同</w:t>
      </w:r>
      <w:r>
        <w:rPr>
          <w:rFonts w:hint="eastAsia" w:ascii="仿宋" w:hAnsi="仿宋" w:eastAsia="仿宋" w:cs="Times New Roman"/>
          <w:kern w:val="0"/>
          <w:sz w:val="24"/>
          <w:szCs w:val="20"/>
          <w:lang w:val="en-US" w:eastAsia="zh-CN" w:bidi="ar-SA"/>
        </w:rPr>
        <w:t>双方</w:t>
      </w:r>
      <w:r>
        <w:rPr>
          <w:rFonts w:ascii="仿宋" w:hAnsi="仿宋" w:eastAsia="仿宋" w:cs="Times New Roman"/>
          <w:kern w:val="0"/>
          <w:sz w:val="24"/>
          <w:szCs w:val="20"/>
          <w:lang w:val="en-US" w:eastAsia="zh-CN" w:bidi="ar-SA"/>
        </w:rPr>
        <w:t>不能预见</w:t>
      </w:r>
      <w:r>
        <w:rPr>
          <w:rFonts w:hint="eastAsia" w:ascii="仿宋" w:hAnsi="仿宋" w:eastAsia="仿宋" w:cs="Times New Roman"/>
          <w:kern w:val="0"/>
          <w:sz w:val="24"/>
          <w:szCs w:val="20"/>
          <w:lang w:val="en-US" w:eastAsia="zh-CN" w:bidi="ar-SA"/>
        </w:rPr>
        <w:t>、</w:t>
      </w:r>
      <w:r>
        <w:rPr>
          <w:rFonts w:ascii="仿宋" w:hAnsi="仿宋" w:eastAsia="仿宋" w:cs="Times New Roman"/>
          <w:kern w:val="0"/>
          <w:sz w:val="24"/>
          <w:szCs w:val="20"/>
          <w:lang w:val="en-US" w:eastAsia="zh-CN" w:bidi="ar-SA"/>
        </w:rPr>
        <w:t>不能避免且不</w:t>
      </w:r>
      <w:r>
        <w:rPr>
          <w:rFonts w:hint="eastAsia" w:ascii="仿宋" w:hAnsi="仿宋" w:eastAsia="仿宋" w:cs="Times New Roman"/>
          <w:kern w:val="0"/>
          <w:sz w:val="24"/>
          <w:szCs w:val="20"/>
          <w:lang w:val="en-US" w:eastAsia="zh-CN" w:bidi="ar-SA"/>
        </w:rPr>
        <w:t>能</w:t>
      </w:r>
      <w:r>
        <w:rPr>
          <w:rFonts w:ascii="仿宋" w:hAnsi="仿宋" w:eastAsia="仿宋" w:cs="Times New Roman"/>
          <w:kern w:val="0"/>
          <w:sz w:val="24"/>
          <w:szCs w:val="20"/>
          <w:lang w:val="en-US" w:eastAsia="zh-CN" w:bidi="ar-SA"/>
        </w:rPr>
        <w:t>克服的客观情况。</w:t>
      </w:r>
    </w:p>
    <w:p w14:paraId="69E1F59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9</w:t>
      </w:r>
      <w:r>
        <w:rPr>
          <w:rFonts w:ascii="仿宋" w:hAnsi="仿宋" w:eastAsia="仿宋" w:cs="Times New Roman"/>
          <w:color w:val="000000"/>
          <w:kern w:val="0"/>
          <w:sz w:val="24"/>
          <w:szCs w:val="20"/>
          <w:lang w:val="en-US" w:eastAsia="zh-CN" w:bidi="ar-SA"/>
        </w:rPr>
        <w:t>.2本合同任何一方因不可抗力不能履行或不能完全履行本合同的义务时，应在不可抗力发生之日起</w:t>
      </w:r>
      <w:r>
        <w:rPr>
          <w:rFonts w:hint="eastAsia" w:ascii="仿宋" w:hAnsi="仿宋" w:eastAsia="仿宋" w:cs="Times New Roman"/>
          <w:color w:val="000000"/>
          <w:kern w:val="0"/>
          <w:sz w:val="24"/>
          <w:szCs w:val="20"/>
          <w:lang w:val="en-US" w:eastAsia="zh-CN" w:bidi="ar-SA"/>
        </w:rPr>
        <w:t>十日内书面通知本合同另一方，并提供由有关部门出具的不可抗力证明。</w:t>
      </w:r>
    </w:p>
    <w:p w14:paraId="12F653D9">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9</w:t>
      </w:r>
      <w:r>
        <w:rPr>
          <w:rFonts w:ascii="仿宋" w:hAnsi="仿宋" w:eastAsia="仿宋" w:cs="Times New Roman"/>
          <w:color w:val="000000"/>
          <w:kern w:val="0"/>
          <w:sz w:val="24"/>
          <w:szCs w:val="20"/>
          <w:lang w:val="en-US" w:eastAsia="zh-CN" w:bidi="ar-SA"/>
        </w:rPr>
        <w:t>.3因不可抗力不能履行合同的，根据不可抗力的影响，受影响方部分或全部免除责任，但法律另有规定的除外。迟延履行合同后发生不可抗力的，不能免除责任。</w:t>
      </w:r>
    </w:p>
    <w:p w14:paraId="1E28203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9</w:t>
      </w:r>
      <w:r>
        <w:rPr>
          <w:rFonts w:ascii="仿宋" w:hAnsi="仿宋" w:eastAsia="仿宋" w:cs="Times New Roman"/>
          <w:color w:val="000000"/>
          <w:kern w:val="0"/>
          <w:sz w:val="24"/>
          <w:szCs w:val="20"/>
          <w:lang w:val="en-US" w:eastAsia="zh-CN" w:bidi="ar-SA"/>
        </w:rPr>
        <w:t>.4如果因不可抗力的影响致使本合同中止履行</w:t>
      </w:r>
      <w:r>
        <w:rPr>
          <w:rFonts w:hint="eastAsia" w:ascii="仿宋" w:hAnsi="仿宋" w:eastAsia="仿宋" w:cs="Times New Roman"/>
          <w:color w:val="000000"/>
          <w:kern w:val="0"/>
          <w:sz w:val="24"/>
          <w:szCs w:val="24"/>
          <w:lang w:val="en-US" w:eastAsia="zh-CN" w:bidi="ar-SA"/>
        </w:rPr>
        <w:t>三十</w:t>
      </w:r>
      <w:r>
        <w:rPr>
          <w:rFonts w:ascii="仿宋" w:hAnsi="仿宋" w:eastAsia="仿宋" w:cs="Times New Roman"/>
          <w:color w:val="000000"/>
          <w:kern w:val="0"/>
          <w:sz w:val="24"/>
          <w:szCs w:val="24"/>
          <w:lang w:val="en-US" w:eastAsia="zh-CN" w:bidi="ar-SA"/>
        </w:rPr>
        <w:t>日</w:t>
      </w:r>
      <w:r>
        <w:rPr>
          <w:rFonts w:hint="eastAsia" w:ascii="仿宋" w:hAnsi="仿宋" w:eastAsia="仿宋" w:cs="Times New Roman"/>
          <w:color w:val="000000"/>
          <w:kern w:val="0"/>
          <w:sz w:val="24"/>
          <w:szCs w:val="20"/>
          <w:lang w:val="en-US" w:eastAsia="zh-CN" w:bidi="ar-SA"/>
        </w:rPr>
        <w:t>或以上时，甲方有权决定是否继续履行或终止本合同，并书面通知乙方。</w:t>
      </w:r>
    </w:p>
    <w:p w14:paraId="7EFD556B">
      <w:pPr>
        <w:widowControl w:val="0"/>
        <w:spacing w:line="360" w:lineRule="exact"/>
        <w:ind w:firstLine="482"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第十条税费</w:t>
      </w:r>
    </w:p>
    <w:p w14:paraId="344D990C">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10</w:t>
      </w:r>
      <w:r>
        <w:rPr>
          <w:rFonts w:ascii="仿宋" w:hAnsi="仿宋" w:eastAsia="仿宋" w:cs="Times New Roman"/>
          <w:color w:val="000000"/>
          <w:kern w:val="0"/>
          <w:sz w:val="24"/>
          <w:szCs w:val="20"/>
          <w:lang w:val="en-US" w:eastAsia="zh-CN" w:bidi="ar-SA"/>
        </w:rPr>
        <w:t>.1双方各自承担中国有关机构根据中国税法向其征收的所有与合同执行有关的税费。</w:t>
      </w:r>
    </w:p>
    <w:p w14:paraId="7F72D7DD">
      <w:pPr>
        <w:widowControl w:val="0"/>
        <w:spacing w:line="360" w:lineRule="exact"/>
        <w:ind w:firstLine="482" w:firstLineChars="200"/>
        <w:jc w:val="both"/>
        <w:rPr>
          <w:rFonts w:ascii="仿宋" w:hAnsi="仿宋" w:eastAsia="仿宋" w:cs="Times New Roman"/>
          <w:b/>
          <w:color w:val="000000"/>
          <w:kern w:val="0"/>
          <w:sz w:val="24"/>
          <w:szCs w:val="20"/>
          <w:lang w:val="en-US" w:eastAsia="zh-CN" w:bidi="ar-SA"/>
        </w:rPr>
      </w:pPr>
      <w:r>
        <w:rPr>
          <w:rFonts w:hint="eastAsia" w:ascii="仿宋" w:hAnsi="仿宋" w:eastAsia="仿宋" w:cs="Times New Roman"/>
          <w:b/>
          <w:color w:val="000000"/>
          <w:kern w:val="0"/>
          <w:sz w:val="24"/>
          <w:szCs w:val="20"/>
          <w:lang w:val="en-US" w:eastAsia="zh-CN" w:bidi="ar-SA"/>
        </w:rPr>
        <w:t>第十一条法律适用及争议解决</w:t>
      </w:r>
    </w:p>
    <w:p w14:paraId="3C2D7ED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11</w:t>
      </w:r>
      <w:r>
        <w:rPr>
          <w:rFonts w:ascii="仿宋" w:hAnsi="仿宋" w:eastAsia="仿宋" w:cs="Times New Roman"/>
          <w:color w:val="000000"/>
          <w:kern w:val="0"/>
          <w:sz w:val="24"/>
          <w:szCs w:val="20"/>
          <w:lang w:val="en-US" w:eastAsia="zh-CN" w:bidi="ar-SA"/>
        </w:rPr>
        <w:t>.1本合同适用中华人民共和国法律。</w:t>
      </w:r>
    </w:p>
    <w:p w14:paraId="16774E48">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11</w:t>
      </w:r>
      <w:r>
        <w:rPr>
          <w:rFonts w:ascii="仿宋" w:hAnsi="仿宋" w:eastAsia="仿宋" w:cs="Times New Roman"/>
          <w:color w:val="000000"/>
          <w:kern w:val="0"/>
          <w:sz w:val="24"/>
          <w:szCs w:val="20"/>
          <w:lang w:val="en-US" w:eastAsia="zh-CN" w:bidi="ar-SA"/>
        </w:rPr>
        <w:t>.2所有因本合同引起的或与本合同有关的任何争议通过双方友好协商解决。如果双方不能通过友好协商解决争议，则任何一方均可</w:t>
      </w:r>
      <w:r>
        <w:rPr>
          <w:rFonts w:hint="eastAsia" w:ascii="仿宋" w:hAnsi="仿宋" w:eastAsia="仿宋" w:cs="Times New Roman"/>
          <w:color w:val="000000"/>
          <w:kern w:val="0"/>
          <w:sz w:val="24"/>
          <w:szCs w:val="24"/>
          <w:lang w:val="en-US" w:eastAsia="zh-CN" w:bidi="ar-SA"/>
        </w:rPr>
        <w:t>向</w:t>
      </w:r>
      <w:r>
        <w:rPr>
          <w:rFonts w:ascii="仿宋" w:hAnsi="仿宋" w:eastAsia="仿宋" w:cs="Times New Roman"/>
          <w:color w:val="000000"/>
          <w:kern w:val="0"/>
          <w:sz w:val="24"/>
          <w:szCs w:val="24"/>
          <w:lang w:val="en-US" w:eastAsia="zh-CN" w:bidi="ar-SA"/>
        </w:rPr>
        <w:t>甲方</w:t>
      </w:r>
      <w:r>
        <w:rPr>
          <w:rFonts w:hint="eastAsia" w:ascii="仿宋" w:hAnsi="仿宋" w:eastAsia="仿宋" w:cs="Times New Roman"/>
          <w:color w:val="000000"/>
          <w:kern w:val="0"/>
          <w:sz w:val="24"/>
          <w:szCs w:val="24"/>
          <w:lang w:val="en-US" w:eastAsia="zh-CN" w:bidi="ar-SA"/>
        </w:rPr>
        <w:t>住所</w:t>
      </w:r>
      <w:r>
        <w:rPr>
          <w:rFonts w:ascii="仿宋" w:hAnsi="仿宋" w:eastAsia="仿宋" w:cs="Times New Roman"/>
          <w:color w:val="000000"/>
          <w:kern w:val="0"/>
          <w:sz w:val="24"/>
          <w:szCs w:val="24"/>
          <w:lang w:val="en-US" w:eastAsia="zh-CN" w:bidi="ar-SA"/>
        </w:rPr>
        <w:t>地有管辖权的</w:t>
      </w:r>
      <w:r>
        <w:rPr>
          <w:rFonts w:hint="eastAsia" w:ascii="仿宋" w:hAnsi="仿宋" w:eastAsia="仿宋" w:cs="Times New Roman"/>
          <w:color w:val="000000"/>
          <w:kern w:val="0"/>
          <w:sz w:val="24"/>
          <w:szCs w:val="24"/>
          <w:lang w:val="en-US" w:eastAsia="zh-CN" w:bidi="ar-SA"/>
        </w:rPr>
        <w:t>人民法院起诉。</w:t>
      </w:r>
    </w:p>
    <w:p w14:paraId="2C01DD57">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11</w:t>
      </w:r>
      <w:r>
        <w:rPr>
          <w:rFonts w:ascii="仿宋" w:hAnsi="仿宋" w:eastAsia="仿宋" w:cs="Times New Roman"/>
          <w:color w:val="000000"/>
          <w:kern w:val="0"/>
          <w:sz w:val="24"/>
          <w:szCs w:val="20"/>
          <w:lang w:val="en-US" w:eastAsia="zh-CN" w:bidi="ar-SA"/>
        </w:rPr>
        <w:t>.3诉讼进行过程中，双方继续履行本合同未涉诉讼的其</w:t>
      </w:r>
      <w:r>
        <w:rPr>
          <w:rFonts w:hint="eastAsia" w:ascii="仿宋" w:hAnsi="仿宋" w:eastAsia="仿宋" w:cs="Times New Roman"/>
          <w:color w:val="000000"/>
          <w:kern w:val="0"/>
          <w:sz w:val="24"/>
          <w:szCs w:val="20"/>
          <w:lang w:val="en-US" w:eastAsia="zh-CN" w:bidi="ar-SA"/>
        </w:rPr>
        <w:t>他</w:t>
      </w:r>
      <w:r>
        <w:rPr>
          <w:rFonts w:ascii="仿宋" w:hAnsi="仿宋" w:eastAsia="仿宋" w:cs="Times New Roman"/>
          <w:color w:val="000000"/>
          <w:kern w:val="0"/>
          <w:sz w:val="24"/>
          <w:szCs w:val="20"/>
          <w:lang w:val="en-US" w:eastAsia="zh-CN" w:bidi="ar-SA"/>
        </w:rPr>
        <w:t>部分。</w:t>
      </w:r>
    </w:p>
    <w:p w14:paraId="3807ACA6">
      <w:pPr>
        <w:widowControl w:val="0"/>
        <w:spacing w:line="360" w:lineRule="exact"/>
        <w:ind w:firstLine="482" w:firstLineChars="200"/>
        <w:jc w:val="both"/>
        <w:rPr>
          <w:rFonts w:ascii="仿宋" w:hAnsi="仿宋" w:eastAsia="仿宋" w:cs="仿宋"/>
          <w:b/>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第十二条保密</w:t>
      </w:r>
    </w:p>
    <w:p w14:paraId="0AADFCCD">
      <w:pPr>
        <w:spacing w:line="360" w:lineRule="exact"/>
        <w:ind w:firstLine="480" w:firstLineChars="200"/>
        <w:rPr>
          <w:rFonts w:ascii="仿宋" w:hAnsi="仿宋" w:eastAsia="仿宋" w:cs="仿宋"/>
          <w:kern w:val="0"/>
          <w:sz w:val="24"/>
          <w:lang w:val="zh-CN"/>
        </w:rPr>
      </w:pPr>
      <w:r>
        <w:rPr>
          <w:rFonts w:ascii="仿宋" w:hAnsi="仿宋" w:eastAsia="仿宋" w:cs="仿宋"/>
          <w:kern w:val="0"/>
          <w:sz w:val="24"/>
        </w:rPr>
        <w:t>12</w:t>
      </w:r>
      <w:r>
        <w:rPr>
          <w:rFonts w:ascii="仿宋" w:hAnsi="仿宋" w:eastAsia="仿宋" w:cs="仿宋"/>
          <w:kern w:val="0"/>
          <w:sz w:val="24"/>
          <w:lang w:val="zh-CN"/>
        </w:rPr>
        <w:t xml:space="preserve">.1 </w:t>
      </w:r>
      <w:r>
        <w:rPr>
          <w:rFonts w:hint="eastAsia" w:ascii="仿宋" w:hAnsi="仿宋" w:eastAsia="仿宋" w:cs="仿宋"/>
          <w:kern w:val="0"/>
          <w:sz w:val="24"/>
          <w:lang w:val="zh-CN"/>
        </w:rPr>
        <w:t>乙方（“接收方”）对甲方或其关联方（合称“披露方”）以任何方式（包括但不限于以传真、电话、视频、电子邮件、即时通信、邮递、快递、挂号信、专人递送、当面告知等方式）提供的资料以及在本合同签订、履行过程中所接触到的披露方的商业秘密、技术资料、客户信息等资料和信息（合称“保密信息”</w:t>
      </w:r>
      <w:r>
        <w:rPr>
          <w:rFonts w:ascii="仿宋" w:hAnsi="仿宋" w:eastAsia="仿宋" w:cs="仿宋"/>
          <w:kern w:val="0"/>
          <w:sz w:val="24"/>
          <w:lang w:val="zh-CN"/>
        </w:rPr>
        <w:t>)，无论其是否为披露方开发或拥有，接收方均负有保密义务。</w:t>
      </w:r>
    </w:p>
    <w:p w14:paraId="2EB12489">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2未经披露方书面许可，接收方不得以任何方式向任何第三方披露，不得将保密信息的部分或全部用于本合同约定事项以外的其他用途。接收方仅可为本合同之目的向其确有知悉必要的雇员披露保密信息，但同时应当指示其雇员遵守本条规定的保密及不披露义务。</w:t>
      </w:r>
    </w:p>
    <w:p w14:paraId="15CFBE72">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.3接收方仅得为履行本合同之目的对保密信息进行复制。接收方不得以任何方式（如软硬盘、图纸、彩样、照片、菲林、光盘等）留存保密信息。接收方应当在完成委托事项或本合同终止或解除后</w:t>
      </w:r>
      <w:r>
        <w:rPr>
          <w:rFonts w:hint="eastAsia" w:ascii="仿宋" w:hAnsi="仿宋" w:eastAsia="仿宋" w:cs="仿宋"/>
          <w:kern w:val="0"/>
          <w:sz w:val="24"/>
          <w:lang w:val="zh-CN"/>
        </w:rPr>
        <w:t>十</w:t>
      </w:r>
      <w:r>
        <w:rPr>
          <w:rFonts w:ascii="仿宋" w:hAnsi="仿宋" w:eastAsia="仿宋" w:cs="仿宋"/>
          <w:kern w:val="0"/>
          <w:sz w:val="24"/>
          <w:lang w:val="zh-CN"/>
        </w:rPr>
        <w:t>日内将载有保密信息的原件资料全部返还披露方，并销毁所有复制件。</w:t>
      </w:r>
    </w:p>
    <w:p w14:paraId="5FBC2970">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.4除另有约定外，接收方未经披露方同意，不得向任何第三方披露本合同的签订及其内容。经披露方书面同意对外披露，仅限于披露方书面同意的范围、方式且遵循书面同意中规定的其他条件。</w:t>
      </w:r>
    </w:p>
    <w:p w14:paraId="760C2C57">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.5接收方应当妥善保管保密信息，采取不低于对其本身商业秘密所采取的保护手段予以保护，并对保密信息在接收方期间发生的被盗、泄露或其他有损保密信息保密性的事件承担全部责任。</w:t>
      </w:r>
    </w:p>
    <w:p w14:paraId="737AED5C">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.6如接收方应法律、行政法规要求披露信息的，接收方应当至少于实际作出披露行为前五个工作日通知</w:t>
      </w:r>
      <w:r>
        <w:rPr>
          <w:rFonts w:hint="eastAsia" w:ascii="仿宋" w:hAnsi="仿宋" w:eastAsia="仿宋" w:cs="仿宋"/>
          <w:kern w:val="0"/>
          <w:sz w:val="24"/>
          <w:lang w:val="zh-CN"/>
        </w:rPr>
        <w:t>披露</w:t>
      </w:r>
      <w:r>
        <w:rPr>
          <w:rFonts w:ascii="仿宋" w:hAnsi="仿宋" w:eastAsia="仿宋" w:cs="仿宋"/>
          <w:kern w:val="0"/>
          <w:sz w:val="24"/>
          <w:lang w:val="zh-CN"/>
        </w:rPr>
        <w:t>方，说明其拟根据上述约定披露有关的保密信息，并就披露对象和披露范围、方式等作出说明，且接收方应当采取所有措施，协助披露方采取法律上的救济或其他措施以阻止该等保密信息的披露，或在法律允许的范围内保护保密信息的秘密性。若披露方未能阻止该等保密信息的披露，则接收方仅能在相关法律、行政法规要求的必要限度内披露该等保密信息。</w:t>
      </w:r>
    </w:p>
    <w:p w14:paraId="645C17D1">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.7披露方不保证保密信息的精确性与合理性。</w:t>
      </w:r>
    </w:p>
    <w:p w14:paraId="53D0B3E5">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.8如果接收方得知第三方获得任何保密信息，应当及时书面通知披露方，并向披露方提供掌握的所有相关情况。</w:t>
      </w:r>
    </w:p>
    <w:p w14:paraId="5C24BCE3">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.9对于接收方在本合同签订及履行过程中依法获得的个人信息和重要数据，接收方应当依法在境内存储，且不得向境外提供。</w:t>
      </w:r>
    </w:p>
    <w:p w14:paraId="3CF89EB9">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.10如接收方违反本条约定的，接收方应当赔偿因此而给披露方造成的一切损</w:t>
      </w:r>
      <w:r>
        <w:rPr>
          <w:rFonts w:hint="eastAsia" w:ascii="仿宋" w:hAnsi="仿宋" w:eastAsia="仿宋" w:cs="仿宋"/>
          <w:kern w:val="0"/>
          <w:sz w:val="24"/>
          <w:lang w:val="zh-CN"/>
        </w:rPr>
        <w:t>失。</w:t>
      </w:r>
    </w:p>
    <w:p w14:paraId="6E86F7F5">
      <w:pPr>
        <w:spacing w:line="360" w:lineRule="exact"/>
        <w:ind w:firstLine="480" w:firstLineChars="200"/>
        <w:rPr>
          <w:rFonts w:ascii="仿宋" w:hAnsi="仿宋" w:eastAsia="仿宋" w:cs="仿宋"/>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.11本保密条款自保密信息提供或披露之日起至本合同终止或解除后</w:t>
      </w:r>
      <w:r>
        <w:rPr>
          <w:rFonts w:hint="eastAsia" w:ascii="仿宋" w:hAnsi="仿宋" w:eastAsia="仿宋" w:cs="仿宋"/>
          <w:kern w:val="0"/>
          <w:sz w:val="24"/>
          <w:lang w:val="zh-CN"/>
        </w:rPr>
        <w:t>五</w:t>
      </w:r>
      <w:r>
        <w:rPr>
          <w:rFonts w:ascii="仿宋" w:hAnsi="仿宋" w:eastAsia="仿宋" w:cs="仿宋"/>
          <w:kern w:val="0"/>
          <w:sz w:val="24"/>
          <w:lang w:val="zh-CN"/>
        </w:rPr>
        <w:t>年内持续有效。</w:t>
      </w:r>
    </w:p>
    <w:p w14:paraId="7F770FE0">
      <w:pPr>
        <w:spacing w:line="360" w:lineRule="exact"/>
        <w:ind w:firstLine="424" w:firstLineChars="177"/>
        <w:rPr>
          <w:rFonts w:ascii="仿宋" w:hAnsi="仿宋" w:eastAsia="仿宋" w:cs="仿宋"/>
          <w:color w:val="000000"/>
          <w:kern w:val="0"/>
          <w:sz w:val="24"/>
          <w:szCs w:val="21"/>
          <w:lang w:val="zh-CN"/>
        </w:rPr>
      </w:pPr>
      <w:r>
        <w:rPr>
          <w:rFonts w:ascii="仿宋" w:hAnsi="仿宋" w:eastAsia="仿宋" w:cs="仿宋"/>
          <w:kern w:val="0"/>
          <w:sz w:val="24"/>
        </w:rPr>
        <w:t>12</w:t>
      </w:r>
      <w:r>
        <w:rPr>
          <w:rFonts w:ascii="仿宋" w:hAnsi="仿宋" w:eastAsia="仿宋" w:cs="仿宋"/>
          <w:kern w:val="0"/>
          <w:sz w:val="24"/>
          <w:lang w:val="zh-CN"/>
        </w:rPr>
        <w:t xml:space="preserve">.12 </w:t>
      </w:r>
      <w:r>
        <w:rPr>
          <w:rFonts w:hint="eastAsia" w:ascii="仿宋" w:hAnsi="仿宋" w:eastAsia="仿宋" w:cs="仿宋"/>
          <w:kern w:val="0"/>
          <w:sz w:val="24"/>
          <w:lang w:val="zh-CN"/>
        </w:rPr>
        <w:t>其他</w:t>
      </w:r>
      <w:r>
        <w:rPr>
          <w:rFonts w:ascii="仿宋" w:hAnsi="仿宋" w:eastAsia="仿宋" w:cs="仿宋"/>
          <w:kern w:val="0"/>
          <w:sz w:val="24"/>
          <w:lang w:val="zh-CN"/>
        </w:rPr>
        <w:t>[</w:t>
      </w:r>
      <w:r>
        <w:rPr>
          <w:rFonts w:hint="eastAsia" w:ascii="仿宋" w:hAnsi="仿宋" w:eastAsia="仿宋" w:cs="仿宋"/>
          <w:kern w:val="0"/>
          <w:sz w:val="24"/>
          <w:lang w:val="en-US" w:eastAsia="zh-CN"/>
        </w:rPr>
        <w:t>/</w:t>
      </w:r>
      <w:r>
        <w:rPr>
          <w:rFonts w:ascii="仿宋" w:hAnsi="仿宋" w:eastAsia="仿宋" w:cs="仿宋"/>
          <w:kern w:val="0"/>
          <w:sz w:val="24"/>
          <w:lang w:val="zh-CN"/>
        </w:rPr>
        <w:t>]。</w:t>
      </w:r>
    </w:p>
    <w:p w14:paraId="2B5F68A0">
      <w:pPr>
        <w:widowControl w:val="0"/>
        <w:spacing w:line="360" w:lineRule="exact"/>
        <w:ind w:firstLine="482" w:firstLineChars="200"/>
        <w:jc w:val="both"/>
        <w:rPr>
          <w:rFonts w:ascii="仿宋" w:hAnsi="仿宋" w:eastAsia="仿宋" w:cs="仿宋"/>
          <w:b/>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第十三条权利归属及侵权处理</w:t>
      </w:r>
    </w:p>
    <w:p w14:paraId="270F7ACC">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13.1双方同意本项目应用软件所有权益，包括但不限于所有权及知识产权、专利申请权，归甲方所有。乙方合法地用于开发应用软件的第三方软件和/或自有软件</w:t>
      </w:r>
      <w:r>
        <w:rPr>
          <w:rFonts w:hint="eastAsia" w:ascii="仿宋" w:hAnsi="仿宋" w:eastAsia="仿宋" w:cs="仿宋"/>
          <w:color w:val="000000"/>
          <w:kern w:val="0"/>
          <w:sz w:val="24"/>
          <w:szCs w:val="20"/>
          <w:lang w:val="en-US" w:eastAsia="zh-CN" w:bidi="ar-SA"/>
        </w:rPr>
        <w:t>仍归乙方或第三方所有。</w:t>
      </w:r>
    </w:p>
    <w:p w14:paraId="38AE6270">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13.2乙方按照本合同约定在履行维护和技术服务过程中，利用甲方提供的相关资料和工作条件完成的新技术成果的所有权益，包括但不限于知识产权及所有权、专利申请权，归甲方所有。</w:t>
      </w:r>
    </w:p>
    <w:p w14:paraId="3AD5200B">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13.3甲方依据本合同的规定，利用乙方提供的工作成果完成的新技术成果的所有权益，包括但不限于知识产权及所有权、专利申请权，归甲方所有。</w:t>
      </w:r>
    </w:p>
    <w:p w14:paraId="1639DC5E">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13.4乙方不得将本项目应用软件及与本项目应用软件具有相同或类似功能的软件提供或变换方式提供、出售给除甲方外的其他方。</w:t>
      </w:r>
      <w:r>
        <w:rPr>
          <w:rFonts w:hint="eastAsia" w:ascii="仿宋" w:hAnsi="仿宋" w:eastAsia="仿宋" w:cs="仿宋"/>
          <w:color w:val="000000"/>
          <w:kern w:val="0"/>
          <w:sz w:val="24"/>
          <w:szCs w:val="20"/>
          <w:lang w:val="en-US" w:eastAsia="zh-CN" w:bidi="ar-SA"/>
        </w:rPr>
        <w:t>乙方在本合同终验证书签署后二年内，不得为除甲方外的其他方开发相同或类似功能的应用软件，也不能对其他方开发同类或类似功能的应用软件提供任何协助。</w:t>
      </w:r>
    </w:p>
    <w:p w14:paraId="67DE6F75">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13.5如果乙方违反上述条款，乙方承担全部责任，并赔偿甲方一切损失，同时甲方有权向乙方收取违约金，违约金金额为合同总价的[</w:t>
      </w:r>
      <w:r>
        <w:rPr>
          <w:rFonts w:hint="eastAsia" w:ascii="仿宋" w:hAnsi="仿宋" w:eastAsia="仿宋" w:cs="Times New Roman"/>
          <w:kern w:val="0"/>
          <w:sz w:val="24"/>
          <w:szCs w:val="20"/>
          <w:lang w:val="en-US" w:eastAsia="zh-CN" w:bidi="ar-SA"/>
        </w:rPr>
        <w:t>千分之三</w:t>
      </w:r>
      <w:r>
        <w:rPr>
          <w:rFonts w:ascii="仿宋" w:hAnsi="仿宋" w:eastAsia="仿宋" w:cs="仿宋"/>
          <w:color w:val="000000"/>
          <w:kern w:val="0"/>
          <w:sz w:val="24"/>
          <w:szCs w:val="20"/>
          <w:lang w:val="en-US" w:eastAsia="zh-CN" w:bidi="ar-SA"/>
        </w:rPr>
        <w:t>]。</w:t>
      </w:r>
    </w:p>
    <w:p w14:paraId="15A0A5BE">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13.6乙方承诺，为完成本合同约定事项，乙方已从系统软件权利人处取得系统软件的许可使用权（或乙方为系统软件的著作权人），并有权许可</w:t>
      </w:r>
      <w:r>
        <w:rPr>
          <w:rFonts w:hint="eastAsia" w:ascii="仿宋" w:hAnsi="仿宋" w:eastAsia="仿宋" w:cs="仿宋"/>
          <w:color w:val="000000"/>
          <w:kern w:val="0"/>
          <w:sz w:val="24"/>
          <w:szCs w:val="20"/>
          <w:lang w:val="en-US" w:eastAsia="zh-CN" w:bidi="ar-SA"/>
        </w:rPr>
        <w:t>甲方或甲方指定的第三方使用并用于应用软件，且该授权长期合法有效并能够满足本项目需要，并应协助甲方做好软件著作权登记相关材料的撰写工作。</w:t>
      </w:r>
    </w:p>
    <w:p w14:paraId="17250021">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13.7乙方承诺，其依据本合同开发应用软件及</w:t>
      </w:r>
      <w:r>
        <w:rPr>
          <w:rFonts w:hint="eastAsia" w:ascii="仿宋" w:hAnsi="仿宋" w:eastAsia="仿宋" w:cs="仿宋"/>
          <w:color w:val="000000"/>
          <w:kern w:val="0"/>
          <w:sz w:val="24"/>
          <w:szCs w:val="20"/>
          <w:lang w:val="en-US" w:eastAsia="zh-CN" w:bidi="ar-SA"/>
        </w:rPr>
        <w:t>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w:t>
      </w:r>
      <w:r>
        <w:rPr>
          <w:rFonts w:ascii="仿宋" w:hAnsi="仿宋" w:eastAsia="仿宋" w:cs="仿宋"/>
          <w:color w:val="000000"/>
          <w:kern w:val="0"/>
          <w:sz w:val="24"/>
          <w:szCs w:val="20"/>
          <w:lang w:val="en-US" w:eastAsia="zh-CN" w:bidi="ar-SA"/>
        </w:rPr>
        <w:t>[</w:t>
      </w:r>
      <w:bookmarkStart w:id="1535" w:name="_Toc33253833"/>
      <w:r>
        <w:rPr>
          <w:rFonts w:hint="eastAsia" w:ascii="仿宋" w:hAnsi="仿宋" w:eastAsia="仿宋" w:cs="仿宋"/>
          <w:color w:val="000000"/>
          <w:kern w:val="0"/>
          <w:sz w:val="24"/>
          <w:szCs w:val="20"/>
          <w:lang w:val="en-US" w:eastAsia="zh-CN" w:bidi="ar-SA"/>
        </w:rPr>
        <w:t>5</w:t>
      </w:r>
      <w:r>
        <w:rPr>
          <w:rFonts w:ascii="仿宋" w:hAnsi="仿宋" w:eastAsia="仿宋" w:cs="仿宋"/>
          <w:color w:val="000000"/>
          <w:kern w:val="0"/>
          <w:sz w:val="24"/>
          <w:szCs w:val="20"/>
          <w:lang w:val="en-US" w:eastAsia="zh-CN" w:bidi="ar-SA"/>
        </w:rPr>
        <w:t>]%</w:t>
      </w:r>
      <w:r>
        <w:rPr>
          <w:rFonts w:hint="eastAsia" w:ascii="仿宋" w:hAnsi="仿宋" w:eastAsia="仿宋" w:cs="仿宋"/>
          <w:color w:val="000000"/>
          <w:kern w:val="0"/>
          <w:sz w:val="24"/>
          <w:szCs w:val="20"/>
          <w:lang w:val="en-US" w:eastAsia="zh-CN" w:bidi="ar-SA"/>
        </w:rPr>
        <w:t>的违约金，并赔偿甲方或甲方指定的第三方的损失。</w:t>
      </w:r>
    </w:p>
    <w:p w14:paraId="3FE23FD7">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13.8如果有人提出法律或行政程序(合称“侵权指控”)，声称</w:t>
      </w:r>
      <w:r>
        <w:rPr>
          <w:rFonts w:hint="eastAsia" w:ascii="仿宋" w:hAnsi="仿宋" w:eastAsia="仿宋" w:cs="仿宋"/>
          <w:color w:val="000000"/>
          <w:kern w:val="0"/>
          <w:sz w:val="24"/>
          <w:szCs w:val="20"/>
          <w:lang w:val="en-US" w:eastAsia="zh-CN" w:bidi="ar-SA"/>
        </w:rPr>
        <w:t>甲方或甲方指定的第三方使用本项目软件侵犯了其所有权或知识产权等合法权益，乙方应当负责解决，并赔偿甲方或甲方指定的第三方就此所承担的一切损失和费用，包括但不限于上述侵权指控中所产生的诉讼费用、调查费用、合理的律师费用、和解金额或生效法律文书中规定的赔偿金额。</w:t>
      </w:r>
    </w:p>
    <w:p w14:paraId="7EC0320D">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13.9如果在侵权指控的审理过程中有关机关禁止</w:t>
      </w:r>
      <w:r>
        <w:rPr>
          <w:rFonts w:hint="eastAsia" w:ascii="仿宋" w:hAnsi="仿宋" w:eastAsia="仿宋" w:cs="仿宋"/>
          <w:color w:val="000000"/>
          <w:kern w:val="0"/>
          <w:sz w:val="24"/>
          <w:szCs w:val="20"/>
          <w:lang w:val="en-US" w:eastAsia="zh-CN" w:bidi="ar-SA"/>
        </w:rPr>
        <w:t>甲方或甲方指定的第三方继续使用本项目软件的部分或全部，乙方应采取以下措施之一：</w:t>
      </w:r>
    </w:p>
    <w:p w14:paraId="44CA243B">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1）使</w:t>
      </w:r>
      <w:r>
        <w:rPr>
          <w:rFonts w:hint="eastAsia" w:ascii="仿宋" w:hAnsi="仿宋" w:eastAsia="仿宋" w:cs="仿宋"/>
          <w:color w:val="000000"/>
          <w:kern w:val="0"/>
          <w:sz w:val="24"/>
          <w:szCs w:val="20"/>
          <w:lang w:val="en-US" w:eastAsia="zh-CN" w:bidi="ar-SA"/>
        </w:rPr>
        <w:t>甲方或甲方指定的第三方重新免费获得使用上述软件的权利。</w:t>
      </w:r>
    </w:p>
    <w:p w14:paraId="1FE92460">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2）免费更换或改造上述软件，使</w:t>
      </w:r>
      <w:r>
        <w:rPr>
          <w:rFonts w:hint="eastAsia" w:ascii="仿宋" w:hAnsi="仿宋" w:eastAsia="仿宋" w:cs="仿宋"/>
          <w:color w:val="000000"/>
          <w:kern w:val="0"/>
          <w:sz w:val="24"/>
          <w:szCs w:val="20"/>
          <w:lang w:val="en-US" w:eastAsia="zh-CN" w:bidi="ar-SA"/>
        </w:rPr>
        <w:t>甲方或甲方指定的第三方不受上述禁令限制继续使用该软件。</w:t>
      </w:r>
    </w:p>
    <w:p w14:paraId="3295A38E">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3）其</w:t>
      </w:r>
      <w:r>
        <w:rPr>
          <w:rFonts w:hint="eastAsia" w:ascii="仿宋" w:hAnsi="仿宋" w:eastAsia="仿宋" w:cs="仿宋"/>
          <w:color w:val="000000"/>
          <w:kern w:val="0"/>
          <w:sz w:val="24"/>
          <w:szCs w:val="20"/>
          <w:lang w:val="en-US" w:eastAsia="zh-CN" w:bidi="ar-SA"/>
        </w:rPr>
        <w:t>他</w:t>
      </w:r>
      <w:r>
        <w:rPr>
          <w:rFonts w:ascii="仿宋" w:hAnsi="仿宋" w:eastAsia="仿宋" w:cs="仿宋"/>
          <w:color w:val="000000"/>
          <w:kern w:val="0"/>
          <w:sz w:val="24"/>
          <w:szCs w:val="20"/>
          <w:lang w:val="en-US" w:eastAsia="zh-CN" w:bidi="ar-SA"/>
        </w:rPr>
        <w:t>使</w:t>
      </w:r>
      <w:r>
        <w:rPr>
          <w:rFonts w:hint="eastAsia" w:ascii="仿宋" w:hAnsi="仿宋" w:eastAsia="仿宋" w:cs="仿宋"/>
          <w:color w:val="000000"/>
          <w:kern w:val="0"/>
          <w:sz w:val="24"/>
          <w:szCs w:val="20"/>
          <w:lang w:val="en-US" w:eastAsia="zh-CN" w:bidi="ar-SA"/>
        </w:rPr>
        <w:t>甲方或甲方指定的第三方对软件拥有合法使用权，或其他弥补甲方或甲方指定的第三方受损利益、实现合同目的的合理方式，且不收取任何费用。</w:t>
      </w:r>
    </w:p>
    <w:p w14:paraId="16FC693E">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乙方采取上述措施不能免除乙方就甲方或甲方指定的第三方因此遭受的损失进行赔偿的义务。</w:t>
      </w:r>
    </w:p>
    <w:p w14:paraId="7356ABEE">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13.10</w:t>
      </w:r>
      <w:r>
        <w:rPr>
          <w:rFonts w:ascii="仿宋" w:hAnsi="仿宋" w:eastAsia="仿宋" w:cs="仿宋"/>
          <w:color w:val="000000"/>
          <w:kern w:val="2"/>
          <w:sz w:val="24"/>
          <w:szCs w:val="20"/>
          <w:lang w:val="en-US" w:eastAsia="zh-CN" w:bidi="ar-SA"/>
        </w:rPr>
        <w:t>未经甲方书面同意，乙方不得在</w:t>
      </w:r>
      <w:r>
        <w:rPr>
          <w:rFonts w:hint="eastAsia" w:ascii="仿宋" w:hAnsi="仿宋" w:eastAsia="仿宋" w:cs="仿宋"/>
          <w:color w:val="000000"/>
          <w:kern w:val="0"/>
          <w:sz w:val="24"/>
          <w:szCs w:val="20"/>
          <w:lang w:val="en-US" w:eastAsia="zh-CN" w:bidi="ar-SA"/>
        </w:rPr>
        <w:t>本项目软件</w:t>
      </w:r>
      <w:r>
        <w:rPr>
          <w:rFonts w:ascii="仿宋" w:hAnsi="仿宋" w:eastAsia="仿宋" w:cs="仿宋"/>
          <w:color w:val="000000"/>
          <w:kern w:val="2"/>
          <w:sz w:val="24"/>
          <w:szCs w:val="20"/>
          <w:lang w:val="en-US" w:eastAsia="zh-CN" w:bidi="ar-SA"/>
        </w:rPr>
        <w:t>中植入或嵌入甲方需求外功能（包括但不限于软件后门、攻击模块、广告插件等）</w:t>
      </w:r>
      <w:r>
        <w:rPr>
          <w:rFonts w:hint="eastAsia" w:ascii="仿宋" w:hAnsi="仿宋" w:eastAsia="仿宋" w:cs="仿宋"/>
          <w:color w:val="000000"/>
          <w:kern w:val="0"/>
          <w:sz w:val="24"/>
          <w:szCs w:val="20"/>
          <w:lang w:val="en-US" w:eastAsia="zh-CN" w:bidi="ar-SA"/>
        </w:rPr>
        <w:t>。否则，</w:t>
      </w:r>
      <w:r>
        <w:rPr>
          <w:rFonts w:ascii="仿宋" w:hAnsi="仿宋" w:eastAsia="仿宋" w:cs="仿宋"/>
          <w:color w:val="000000"/>
          <w:kern w:val="2"/>
          <w:sz w:val="24"/>
          <w:szCs w:val="20"/>
          <w:lang w:val="en-US" w:eastAsia="zh-CN" w:bidi="ar-SA"/>
        </w:rPr>
        <w:t>乙方应向甲方支付合同总价</w:t>
      </w:r>
      <w:r>
        <w:rPr>
          <w:rFonts w:ascii="仿宋" w:hAnsi="仿宋" w:eastAsia="仿宋" w:cs="仿宋"/>
          <w:color w:val="000000"/>
          <w:kern w:val="0"/>
          <w:sz w:val="24"/>
          <w:szCs w:val="20"/>
          <w:lang w:val="en-US" w:eastAsia="zh-CN" w:bidi="ar-SA"/>
        </w:rPr>
        <w:t>[</w:t>
      </w:r>
      <w:r>
        <w:rPr>
          <w:rFonts w:hint="eastAsia" w:ascii="仿宋" w:hAnsi="仿宋" w:eastAsia="仿宋" w:cs="仿宋"/>
          <w:color w:val="000000"/>
          <w:kern w:val="0"/>
          <w:sz w:val="24"/>
          <w:szCs w:val="20"/>
          <w:lang w:val="en-US" w:eastAsia="zh-CN" w:bidi="ar-SA"/>
        </w:rPr>
        <w:t>5</w:t>
      </w:r>
      <w:r>
        <w:rPr>
          <w:rFonts w:ascii="仿宋" w:hAnsi="仿宋" w:eastAsia="仿宋" w:cs="仿宋"/>
          <w:color w:val="000000"/>
          <w:kern w:val="0"/>
          <w:sz w:val="24"/>
          <w:szCs w:val="20"/>
          <w:lang w:val="en-US" w:eastAsia="zh-CN" w:bidi="ar-SA"/>
        </w:rPr>
        <w:t>]%</w:t>
      </w:r>
      <w:r>
        <w:rPr>
          <w:rFonts w:ascii="仿宋" w:hAnsi="仿宋" w:eastAsia="仿宋" w:cs="仿宋"/>
          <w:color w:val="000000"/>
          <w:kern w:val="2"/>
          <w:sz w:val="24"/>
          <w:szCs w:val="20"/>
          <w:lang w:val="en-US" w:eastAsia="zh-CN" w:bidi="ar-SA"/>
        </w:rPr>
        <w:t>的违约金，</w:t>
      </w:r>
      <w:r>
        <w:rPr>
          <w:rFonts w:hint="eastAsia" w:ascii="仿宋" w:hAnsi="仿宋" w:eastAsia="仿宋" w:cs="仿宋"/>
          <w:color w:val="000000"/>
          <w:kern w:val="0"/>
          <w:sz w:val="24"/>
          <w:szCs w:val="20"/>
          <w:lang w:val="en-US" w:eastAsia="zh-CN" w:bidi="ar-SA"/>
        </w:rPr>
        <w:t>并赔偿甲方或甲方指定的第三方的损失。</w:t>
      </w:r>
    </w:p>
    <w:p w14:paraId="2568C079">
      <w:pPr>
        <w:widowControl w:val="0"/>
        <w:spacing w:line="360" w:lineRule="exact"/>
        <w:ind w:firstLine="482"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第十四条合同的解除</w:t>
      </w:r>
    </w:p>
    <w:p w14:paraId="3ECD650B">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14.1双方确定，本合同可以在以下情况出现时解除：</w:t>
      </w:r>
    </w:p>
    <w:p w14:paraId="4AAED4F3">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1）由于本合同规定的不可抗力致使本合同的履行成为不必要或不可能的。</w:t>
      </w:r>
    </w:p>
    <w:p w14:paraId="44BD93E0">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2）在本合同履行中，若应用软件已经由他人公开（包括以专利权方式公开），乙方</w:t>
      </w:r>
      <w:r>
        <w:rPr>
          <w:rFonts w:ascii="仿宋" w:hAnsi="仿宋" w:eastAsia="仿宋" w:cs="仿宋"/>
          <w:color w:val="000000"/>
          <w:kern w:val="0"/>
          <w:sz w:val="24"/>
          <w:szCs w:val="24"/>
          <w:lang w:val="en-US" w:eastAsia="zh-CN" w:bidi="ar-SA"/>
        </w:rPr>
        <w:t>应</w:t>
      </w:r>
      <w:r>
        <w:rPr>
          <w:rFonts w:hint="eastAsia" w:ascii="仿宋" w:hAnsi="仿宋" w:eastAsia="仿宋" w:cs="仿宋"/>
          <w:color w:val="000000"/>
          <w:kern w:val="0"/>
          <w:sz w:val="24"/>
          <w:szCs w:val="24"/>
          <w:lang w:val="en-US" w:eastAsia="zh-CN" w:bidi="ar-SA"/>
        </w:rPr>
        <w:t>当</w:t>
      </w:r>
      <w:r>
        <w:rPr>
          <w:rFonts w:ascii="仿宋" w:hAnsi="仿宋" w:eastAsia="仿宋" w:cs="仿宋"/>
          <w:color w:val="000000"/>
          <w:kern w:val="0"/>
          <w:sz w:val="24"/>
          <w:szCs w:val="20"/>
          <w:lang w:val="en-US" w:eastAsia="zh-CN" w:bidi="ar-SA"/>
        </w:rPr>
        <w:t>在知道或应当知道前述公开之日起[</w:t>
      </w:r>
      <w:r>
        <w:rPr>
          <w:rFonts w:hint="eastAsia" w:ascii="仿宋" w:hAnsi="仿宋" w:eastAsia="仿宋" w:cs="仿宋"/>
          <w:color w:val="000000"/>
          <w:kern w:val="0"/>
          <w:sz w:val="24"/>
          <w:szCs w:val="20"/>
          <w:lang w:val="en-US" w:eastAsia="zh-CN" w:bidi="ar-SA"/>
        </w:rPr>
        <w:t>5</w:t>
      </w:r>
      <w:r>
        <w:rPr>
          <w:rFonts w:ascii="仿宋" w:hAnsi="仿宋" w:eastAsia="仿宋" w:cs="仿宋"/>
          <w:color w:val="000000"/>
          <w:kern w:val="0"/>
          <w:sz w:val="24"/>
          <w:szCs w:val="20"/>
          <w:lang w:val="en-US" w:eastAsia="zh-CN" w:bidi="ar-SA"/>
        </w:rPr>
        <w:t>]日内</w:t>
      </w:r>
      <w:r>
        <w:rPr>
          <w:rFonts w:hint="eastAsia" w:ascii="仿宋" w:hAnsi="仿宋" w:eastAsia="仿宋" w:cs="仿宋"/>
          <w:color w:val="000000"/>
          <w:kern w:val="0"/>
          <w:sz w:val="24"/>
          <w:szCs w:val="20"/>
          <w:lang w:val="en-US" w:eastAsia="zh-CN" w:bidi="ar-SA"/>
        </w:rPr>
        <w:t>通知甲方，甲方有权解除本合同。乙方逾期未通知致使甲方产生损失的，甲方有权要求予以赔偿。如果出现由于乙方原因（如泄密）导致技术公开，除退还甲方已付款项及自付款之日起至</w:t>
      </w:r>
      <w:r>
        <w:rPr>
          <w:rFonts w:hint="eastAsia" w:ascii="仿宋" w:hAnsi="仿宋" w:eastAsia="仿宋" w:cs="仿宋"/>
          <w:color w:val="000000"/>
          <w:kern w:val="0"/>
          <w:sz w:val="24"/>
          <w:szCs w:val="24"/>
          <w:lang w:val="en-US" w:eastAsia="zh-CN" w:bidi="ar-SA"/>
        </w:rPr>
        <w:t>乙方</w:t>
      </w:r>
      <w:r>
        <w:rPr>
          <w:rFonts w:hint="eastAsia" w:ascii="仿宋" w:hAnsi="仿宋" w:eastAsia="仿宋" w:cs="仿宋"/>
          <w:color w:val="000000"/>
          <w:kern w:val="0"/>
          <w:sz w:val="24"/>
          <w:szCs w:val="20"/>
          <w:lang w:val="en-US" w:eastAsia="zh-CN" w:bidi="ar-SA"/>
        </w:rPr>
        <w:t>返还</w:t>
      </w:r>
      <w:r>
        <w:rPr>
          <w:rFonts w:hint="eastAsia" w:ascii="仿宋" w:hAnsi="仿宋" w:eastAsia="仿宋" w:cs="仿宋"/>
          <w:color w:val="000000"/>
          <w:kern w:val="0"/>
          <w:sz w:val="24"/>
          <w:szCs w:val="24"/>
          <w:lang w:val="en-US" w:eastAsia="zh-CN" w:bidi="ar-SA"/>
        </w:rPr>
        <w:t>款项</w:t>
      </w:r>
      <w:r>
        <w:rPr>
          <w:rFonts w:hint="eastAsia" w:ascii="仿宋" w:hAnsi="仿宋" w:eastAsia="仿宋" w:cs="仿宋"/>
          <w:color w:val="000000"/>
          <w:kern w:val="0"/>
          <w:sz w:val="24"/>
          <w:szCs w:val="20"/>
          <w:lang w:val="en-US" w:eastAsia="zh-CN" w:bidi="ar-SA"/>
        </w:rPr>
        <w:t>之日止的利息（按照付款时中国人民银行授权全国银行间同业拆借中心公布的一年期贷款市场报价利率（</w:t>
      </w:r>
      <w:r>
        <w:rPr>
          <w:rFonts w:ascii="仿宋" w:hAnsi="仿宋" w:eastAsia="仿宋" w:cs="仿宋"/>
          <w:color w:val="000000"/>
          <w:kern w:val="0"/>
          <w:sz w:val="24"/>
          <w:szCs w:val="20"/>
          <w:lang w:val="en-US" w:eastAsia="zh-CN" w:bidi="ar-SA"/>
        </w:rPr>
        <w:t>LPR）标准计算）</w:t>
      </w:r>
      <w:r>
        <w:rPr>
          <w:rFonts w:hint="eastAsia" w:ascii="仿宋" w:hAnsi="仿宋" w:eastAsia="仿宋" w:cs="仿宋"/>
          <w:color w:val="000000"/>
          <w:kern w:val="0"/>
          <w:sz w:val="24"/>
          <w:szCs w:val="20"/>
          <w:lang w:val="en-US" w:eastAsia="zh-CN" w:bidi="ar-SA"/>
        </w:rPr>
        <w:t>外，乙方还</w:t>
      </w:r>
      <w:r>
        <w:rPr>
          <w:rFonts w:hint="eastAsia" w:ascii="仿宋" w:hAnsi="仿宋" w:eastAsia="仿宋" w:cs="仿宋"/>
          <w:color w:val="000000"/>
          <w:kern w:val="0"/>
          <w:sz w:val="24"/>
          <w:szCs w:val="24"/>
          <w:lang w:val="en-US" w:eastAsia="zh-CN" w:bidi="ar-SA"/>
        </w:rPr>
        <w:t>应当</w:t>
      </w:r>
      <w:r>
        <w:rPr>
          <w:rFonts w:hint="eastAsia" w:ascii="仿宋" w:hAnsi="仿宋" w:eastAsia="仿宋" w:cs="仿宋"/>
          <w:color w:val="000000"/>
          <w:kern w:val="0"/>
          <w:sz w:val="24"/>
          <w:szCs w:val="20"/>
          <w:lang w:val="en-US" w:eastAsia="zh-CN" w:bidi="ar-SA"/>
        </w:rPr>
        <w:t>向甲方支付相当于甲方已付款项</w:t>
      </w:r>
      <w:r>
        <w:rPr>
          <w:rFonts w:ascii="仿宋" w:hAnsi="仿宋" w:eastAsia="仿宋" w:cs="仿宋"/>
          <w:color w:val="000000"/>
          <w:kern w:val="0"/>
          <w:sz w:val="24"/>
          <w:szCs w:val="20"/>
          <w:lang w:val="en-US" w:eastAsia="zh-CN" w:bidi="ar-SA"/>
        </w:rPr>
        <w:t xml:space="preserve">[ </w:t>
      </w:r>
      <w:r>
        <w:rPr>
          <w:rFonts w:hint="eastAsia" w:ascii="仿宋" w:hAnsi="仿宋" w:eastAsia="仿宋" w:cs="仿宋"/>
          <w:color w:val="000000"/>
          <w:kern w:val="0"/>
          <w:sz w:val="24"/>
          <w:szCs w:val="20"/>
          <w:lang w:val="en-US" w:eastAsia="zh-CN" w:bidi="ar-SA"/>
        </w:rPr>
        <w:t>/</w:t>
      </w:r>
      <w:r>
        <w:rPr>
          <w:rFonts w:ascii="仿宋" w:hAnsi="仿宋" w:eastAsia="仿宋" w:cs="仿宋"/>
          <w:color w:val="000000"/>
          <w:kern w:val="0"/>
          <w:sz w:val="24"/>
          <w:szCs w:val="20"/>
          <w:lang w:val="en-US" w:eastAsia="zh-CN" w:bidi="ar-SA"/>
        </w:rPr>
        <w:t xml:space="preserve"> ]倍</w:t>
      </w:r>
      <w:r>
        <w:rPr>
          <w:rFonts w:hint="eastAsia" w:ascii="仿宋" w:hAnsi="仿宋" w:eastAsia="仿宋" w:cs="仿宋"/>
          <w:color w:val="000000"/>
          <w:kern w:val="0"/>
          <w:sz w:val="24"/>
          <w:szCs w:val="20"/>
          <w:lang w:val="en-US" w:eastAsia="zh-CN" w:bidi="ar-SA"/>
        </w:rPr>
        <w:t>的赔偿金额。</w:t>
      </w:r>
    </w:p>
    <w:p w14:paraId="255B7C22">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14.2本合同自有权解除合同一方发出解除的书面通知时解除。</w:t>
      </w:r>
    </w:p>
    <w:p w14:paraId="74893719">
      <w:pPr>
        <w:widowControl w:val="0"/>
        <w:spacing w:line="360" w:lineRule="exact"/>
        <w:ind w:firstLine="482" w:firstLineChars="200"/>
        <w:jc w:val="both"/>
        <w:rPr>
          <w:rFonts w:ascii="仿宋" w:hAnsi="仿宋" w:eastAsia="仿宋" w:cs="仿宋"/>
          <w:b/>
          <w:color w:val="000000"/>
          <w:kern w:val="0"/>
          <w:sz w:val="24"/>
          <w:szCs w:val="20"/>
          <w:lang w:val="en-US" w:eastAsia="zh-CN" w:bidi="ar-SA"/>
        </w:rPr>
      </w:pPr>
      <w:r>
        <w:rPr>
          <w:rFonts w:hint="eastAsia" w:ascii="仿宋" w:hAnsi="仿宋" w:eastAsia="仿宋" w:cs="仿宋"/>
          <w:b/>
          <w:color w:val="000000"/>
          <w:kern w:val="0"/>
          <w:sz w:val="24"/>
          <w:szCs w:val="20"/>
          <w:lang w:val="en-US" w:eastAsia="zh-CN" w:bidi="ar-SA"/>
        </w:rPr>
        <w:t>第十五条合同生效及其他</w:t>
      </w:r>
    </w:p>
    <w:p w14:paraId="625A9E36">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15.1</w:t>
      </w:r>
      <w:r>
        <w:rPr>
          <w:rFonts w:hint="eastAsia" w:ascii="仿宋" w:hAnsi="仿宋" w:eastAsia="仿宋" w:cs="仿宋"/>
          <w:color w:val="000000"/>
          <w:kern w:val="0"/>
          <w:sz w:val="24"/>
          <w:szCs w:val="20"/>
          <w:lang w:val="en-US" w:eastAsia="zh-CN" w:bidi="ar-SA"/>
        </w:rPr>
        <w:t>自双方签字盖章之日起生效；若使用电子印章的，自双方盖章之日起生效。本合同</w:t>
      </w:r>
      <w:r>
        <w:rPr>
          <w:rFonts w:ascii="仿宋" w:hAnsi="仿宋" w:eastAsia="仿宋" w:cs="仿宋"/>
          <w:color w:val="000000"/>
          <w:kern w:val="0"/>
          <w:sz w:val="24"/>
          <w:szCs w:val="20"/>
          <w:lang w:val="en-US" w:eastAsia="zh-CN" w:bidi="ar-SA"/>
        </w:rPr>
        <w:t>保持其有效直至双方已完全履行合同项下的所有义务且双方之间的所有付款和索赔已结清</w:t>
      </w:r>
      <w:r>
        <w:rPr>
          <w:rFonts w:hint="eastAsia" w:ascii="仿宋" w:hAnsi="仿宋" w:eastAsia="仿宋" w:cs="仿宋"/>
          <w:color w:val="000000"/>
          <w:kern w:val="0"/>
          <w:sz w:val="24"/>
          <w:szCs w:val="20"/>
          <w:lang w:val="en-US" w:eastAsia="zh-CN" w:bidi="ar-SA"/>
        </w:rPr>
        <w:t>。</w:t>
      </w:r>
    </w:p>
    <w:bookmarkEnd w:id="1535"/>
    <w:p w14:paraId="3D64055A">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hint="eastAsia" w:ascii="仿宋" w:hAnsi="仿宋" w:eastAsia="仿宋" w:cs="仿宋"/>
          <w:color w:val="000000"/>
          <w:kern w:val="0"/>
          <w:sz w:val="24"/>
          <w:szCs w:val="20"/>
          <w:lang w:val="en-US" w:eastAsia="zh-CN" w:bidi="ar-SA"/>
        </w:rPr>
        <w:t>若甲方加盖电子印章的，以加盖</w:t>
      </w:r>
      <w:r>
        <w:rPr>
          <w:rFonts w:ascii="仿宋" w:hAnsi="仿宋" w:eastAsia="仿宋" w:cs="仿宋"/>
          <w:color w:val="000000"/>
          <w:kern w:val="0"/>
          <w:sz w:val="24"/>
          <w:szCs w:val="20"/>
          <w:lang w:val="en-US" w:eastAsia="zh-CN" w:bidi="ar-SA"/>
        </w:rPr>
        <w:t>甲方电子印章的本合同电子文档所载内容为准</w:t>
      </w:r>
      <w:r>
        <w:rPr>
          <w:rFonts w:hint="eastAsia" w:ascii="仿宋" w:hAnsi="仿宋" w:eastAsia="仿宋" w:cs="仿宋"/>
          <w:color w:val="000000"/>
          <w:kern w:val="0"/>
          <w:sz w:val="24"/>
          <w:szCs w:val="20"/>
          <w:lang w:val="en-US" w:eastAsia="zh-CN" w:bidi="ar-SA"/>
        </w:rPr>
        <w:t>。</w:t>
      </w:r>
    </w:p>
    <w:p w14:paraId="2C08FF49">
      <w:pPr>
        <w:widowControl w:val="0"/>
        <w:spacing w:line="360" w:lineRule="exact"/>
        <w:ind w:firstLine="480" w:firstLineChars="200"/>
        <w:jc w:val="both"/>
        <w:rPr>
          <w:rFonts w:ascii="仿宋" w:hAnsi="仿宋" w:eastAsia="仿宋" w:cs="仿宋"/>
          <w:color w:val="000000"/>
          <w:kern w:val="0"/>
          <w:sz w:val="24"/>
          <w:szCs w:val="24"/>
          <w:lang w:val="en-US" w:eastAsia="zh-CN" w:bidi="ar-SA"/>
        </w:rPr>
      </w:pPr>
      <w:r>
        <w:rPr>
          <w:rFonts w:ascii="仿宋" w:hAnsi="仿宋" w:eastAsia="仿宋" w:cs="仿宋"/>
          <w:color w:val="000000"/>
          <w:kern w:val="0"/>
          <w:sz w:val="24"/>
          <w:szCs w:val="20"/>
          <w:lang w:val="en-US" w:eastAsia="zh-CN" w:bidi="ar-SA"/>
        </w:rPr>
        <w:t>15.2</w:t>
      </w:r>
      <w:r>
        <w:rPr>
          <w:rFonts w:hint="eastAsia" w:ascii="仿宋" w:hAnsi="仿宋" w:eastAsia="仿宋" w:cs="仿宋"/>
          <w:color w:val="000000"/>
          <w:kern w:val="0"/>
          <w:sz w:val="24"/>
          <w:szCs w:val="20"/>
          <w:lang w:val="en-US" w:eastAsia="zh-CN" w:bidi="ar-SA"/>
        </w:rPr>
        <w:t>本合同</w:t>
      </w:r>
      <w:r>
        <w:rPr>
          <w:rFonts w:ascii="仿宋" w:hAnsi="仿宋" w:eastAsia="仿宋" w:cs="仿宋"/>
          <w:color w:val="000000"/>
          <w:kern w:val="0"/>
          <w:sz w:val="24"/>
          <w:szCs w:val="20"/>
          <w:lang w:val="en-US" w:eastAsia="zh-CN" w:bidi="ar-SA"/>
        </w:rPr>
        <w:t>附件</w:t>
      </w:r>
      <w:r>
        <w:rPr>
          <w:rFonts w:hint="eastAsia" w:ascii="仿宋" w:hAnsi="仿宋" w:eastAsia="仿宋" w:cs="仿宋"/>
          <w:color w:val="000000"/>
          <w:kern w:val="0"/>
          <w:sz w:val="24"/>
          <w:szCs w:val="20"/>
          <w:lang w:val="en-US" w:eastAsia="zh-CN" w:bidi="ar-SA"/>
        </w:rPr>
        <w:t>同时</w:t>
      </w:r>
      <w:r>
        <w:rPr>
          <w:rFonts w:ascii="仿宋" w:hAnsi="仿宋" w:eastAsia="仿宋" w:cs="仿宋"/>
          <w:color w:val="000000"/>
          <w:kern w:val="0"/>
          <w:sz w:val="24"/>
          <w:szCs w:val="20"/>
          <w:lang w:val="en-US" w:eastAsia="zh-CN" w:bidi="ar-SA"/>
        </w:rPr>
        <w:t>存在中文</w:t>
      </w:r>
      <w:r>
        <w:rPr>
          <w:rFonts w:hint="eastAsia" w:ascii="仿宋" w:hAnsi="仿宋" w:eastAsia="仿宋" w:cs="仿宋"/>
          <w:color w:val="000000"/>
          <w:kern w:val="0"/>
          <w:sz w:val="24"/>
          <w:szCs w:val="20"/>
          <w:lang w:val="en-US" w:eastAsia="zh-CN" w:bidi="ar-SA"/>
        </w:rPr>
        <w:t>和</w:t>
      </w:r>
      <w:r>
        <w:rPr>
          <w:rFonts w:ascii="仿宋" w:hAnsi="仿宋" w:eastAsia="仿宋" w:cs="仿宋"/>
          <w:color w:val="000000"/>
          <w:kern w:val="0"/>
          <w:sz w:val="24"/>
          <w:szCs w:val="20"/>
          <w:lang w:val="en-US" w:eastAsia="zh-CN" w:bidi="ar-SA"/>
        </w:rPr>
        <w:t>英文文本</w:t>
      </w:r>
      <w:r>
        <w:rPr>
          <w:rFonts w:hint="eastAsia" w:ascii="仿宋" w:hAnsi="仿宋" w:eastAsia="仿宋" w:cs="仿宋"/>
          <w:color w:val="000000"/>
          <w:kern w:val="0"/>
          <w:sz w:val="24"/>
          <w:szCs w:val="20"/>
          <w:lang w:val="en-US" w:eastAsia="zh-CN" w:bidi="ar-SA"/>
        </w:rPr>
        <w:t>的</w:t>
      </w:r>
      <w:r>
        <w:rPr>
          <w:rFonts w:ascii="仿宋" w:hAnsi="仿宋" w:eastAsia="仿宋" w:cs="仿宋"/>
          <w:color w:val="000000"/>
          <w:kern w:val="0"/>
          <w:sz w:val="24"/>
          <w:szCs w:val="20"/>
          <w:lang w:val="en-US" w:eastAsia="zh-CN" w:bidi="ar-SA"/>
        </w:rPr>
        <w:t>，中英文不一致时，以中文</w:t>
      </w:r>
      <w:r>
        <w:rPr>
          <w:rFonts w:hint="eastAsia" w:ascii="仿宋" w:hAnsi="仿宋" w:eastAsia="仿宋" w:cs="仿宋"/>
          <w:color w:val="000000"/>
          <w:kern w:val="0"/>
          <w:sz w:val="24"/>
          <w:szCs w:val="20"/>
          <w:lang w:val="en-US" w:eastAsia="zh-CN" w:bidi="ar-SA"/>
        </w:rPr>
        <w:t>文本</w:t>
      </w:r>
      <w:r>
        <w:rPr>
          <w:rFonts w:ascii="仿宋" w:hAnsi="仿宋" w:eastAsia="仿宋" w:cs="仿宋"/>
          <w:color w:val="000000"/>
          <w:kern w:val="0"/>
          <w:sz w:val="24"/>
          <w:szCs w:val="20"/>
          <w:lang w:val="en-US" w:eastAsia="zh-CN" w:bidi="ar-SA"/>
        </w:rPr>
        <w:t>为准</w:t>
      </w:r>
      <w:r>
        <w:rPr>
          <w:rFonts w:hint="eastAsia" w:ascii="仿宋" w:hAnsi="仿宋" w:eastAsia="仿宋" w:cs="仿宋"/>
          <w:color w:val="000000"/>
          <w:kern w:val="0"/>
          <w:sz w:val="24"/>
          <w:szCs w:val="20"/>
          <w:lang w:val="en-US" w:eastAsia="zh-CN" w:bidi="ar-SA"/>
        </w:rPr>
        <w:t>。</w:t>
      </w:r>
    </w:p>
    <w:p w14:paraId="72C2FF60">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15.3</w:t>
      </w:r>
      <w:r>
        <w:rPr>
          <w:rFonts w:hint="eastAsia" w:ascii="仿宋" w:hAnsi="仿宋" w:eastAsia="仿宋" w:cs="仿宋"/>
          <w:color w:val="000000"/>
          <w:kern w:val="0"/>
          <w:sz w:val="24"/>
          <w:szCs w:val="20"/>
          <w:lang w:val="en-US" w:eastAsia="zh-CN" w:bidi="ar-SA"/>
        </w:rPr>
        <w:t>本合同替代此前双方所有关于本合同事项的口头或书面的纪要、备忘录、合同、协议等法律文件。</w:t>
      </w:r>
    </w:p>
    <w:p w14:paraId="32C8E697">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15.4</w:t>
      </w:r>
      <w:r>
        <w:rPr>
          <w:rFonts w:hint="eastAsia" w:ascii="仿宋" w:hAnsi="仿宋" w:eastAsia="仿宋" w:cs="仿宋"/>
          <w:color w:val="000000"/>
          <w:kern w:val="0"/>
          <w:sz w:val="24"/>
          <w:szCs w:val="20"/>
          <w:lang w:val="en-US" w:eastAsia="zh-CN" w:bidi="ar-SA"/>
        </w:rPr>
        <w:t>乙</w:t>
      </w:r>
      <w:r>
        <w:rPr>
          <w:rFonts w:ascii="仿宋" w:hAnsi="仿宋" w:eastAsia="仿宋" w:cs="仿宋"/>
          <w:color w:val="000000"/>
          <w:kern w:val="0"/>
          <w:sz w:val="24"/>
          <w:szCs w:val="20"/>
          <w:lang w:val="en-US" w:eastAsia="zh-CN" w:bidi="ar-SA"/>
        </w:rPr>
        <w:t>方未经</w:t>
      </w:r>
      <w:r>
        <w:rPr>
          <w:rFonts w:hint="eastAsia" w:ascii="仿宋" w:hAnsi="仿宋" w:eastAsia="仿宋" w:cs="仿宋"/>
          <w:color w:val="000000"/>
          <w:kern w:val="0"/>
          <w:sz w:val="24"/>
          <w:szCs w:val="20"/>
          <w:lang w:val="en-US" w:eastAsia="zh-CN" w:bidi="ar-SA"/>
        </w:rPr>
        <w:t>甲</w:t>
      </w:r>
      <w:r>
        <w:rPr>
          <w:rFonts w:ascii="仿宋" w:hAnsi="仿宋" w:eastAsia="仿宋" w:cs="仿宋"/>
          <w:color w:val="000000"/>
          <w:kern w:val="0"/>
          <w:sz w:val="24"/>
          <w:szCs w:val="20"/>
          <w:lang w:val="en-US" w:eastAsia="zh-CN" w:bidi="ar-SA"/>
        </w:rPr>
        <w:t>方同意不得向任何第三方透露本合同的签订及其内容。</w:t>
      </w:r>
      <w:r>
        <w:rPr>
          <w:rFonts w:hint="eastAsia" w:ascii="仿宋" w:hAnsi="仿宋" w:eastAsia="仿宋" w:cs="仿宋"/>
          <w:color w:val="000000"/>
          <w:kern w:val="0"/>
          <w:sz w:val="24"/>
          <w:szCs w:val="20"/>
          <w:lang w:val="en-US" w:eastAsia="zh-CN" w:bidi="ar-SA"/>
        </w:rPr>
        <w:t>甲</w:t>
      </w:r>
      <w:r>
        <w:rPr>
          <w:rFonts w:ascii="仿宋" w:hAnsi="仿宋" w:eastAsia="仿宋" w:cs="仿宋"/>
          <w:color w:val="000000"/>
          <w:kern w:val="0"/>
          <w:sz w:val="24"/>
          <w:szCs w:val="20"/>
          <w:lang w:val="en-US" w:eastAsia="zh-CN" w:bidi="ar-SA"/>
        </w:rPr>
        <w:t>方向其关联公司透露的，不受此限。</w:t>
      </w:r>
    </w:p>
    <w:p w14:paraId="66633230">
      <w:pPr>
        <w:widowControl w:val="0"/>
        <w:spacing w:line="360" w:lineRule="exact"/>
        <w:ind w:firstLine="480" w:firstLineChars="200"/>
        <w:jc w:val="both"/>
        <w:rPr>
          <w:rFonts w:ascii="仿宋" w:hAnsi="仿宋" w:eastAsia="仿宋" w:cs="仿宋"/>
          <w:color w:val="000000"/>
          <w:kern w:val="0"/>
          <w:sz w:val="24"/>
          <w:szCs w:val="20"/>
          <w:lang w:val="en-US" w:eastAsia="zh-CN" w:bidi="ar-SA"/>
        </w:rPr>
      </w:pPr>
      <w:r>
        <w:rPr>
          <w:rFonts w:ascii="仿宋" w:hAnsi="仿宋" w:eastAsia="仿宋" w:cs="仿宋"/>
          <w:color w:val="000000"/>
          <w:kern w:val="0"/>
          <w:sz w:val="24"/>
          <w:szCs w:val="20"/>
          <w:lang w:val="en-US" w:eastAsia="zh-CN" w:bidi="ar-SA"/>
        </w:rPr>
        <w:t>15.5对合同内容做出的任何修改和补充应为书面形式，由双方签字盖章后成为</w:t>
      </w:r>
      <w:r>
        <w:rPr>
          <w:rFonts w:hint="eastAsia" w:ascii="仿宋" w:hAnsi="仿宋" w:eastAsia="仿宋" w:cs="仿宋"/>
          <w:color w:val="000000"/>
          <w:kern w:val="0"/>
          <w:sz w:val="24"/>
          <w:szCs w:val="20"/>
          <w:lang w:val="en-US" w:eastAsia="zh-CN" w:bidi="ar-SA"/>
        </w:rPr>
        <w:t>合同不可分割的部分。</w:t>
      </w:r>
    </w:p>
    <w:p w14:paraId="689C89A7">
      <w:pPr>
        <w:spacing w:line="360" w:lineRule="exact"/>
        <w:ind w:firstLine="480" w:firstLineChars="200"/>
        <w:rPr>
          <w:rFonts w:ascii="仿宋" w:hAnsi="仿宋" w:eastAsia="仿宋" w:cs="仿宋"/>
          <w:color w:val="000000"/>
          <w:sz w:val="24"/>
          <w:szCs w:val="21"/>
        </w:rPr>
      </w:pPr>
      <w:r>
        <w:rPr>
          <w:rFonts w:ascii="仿宋" w:hAnsi="仿宋" w:eastAsia="仿宋" w:cs="仿宋"/>
          <w:color w:val="000000"/>
          <w:sz w:val="24"/>
        </w:rPr>
        <w:t>15.6</w:t>
      </w:r>
      <w:r>
        <w:rPr>
          <w:rFonts w:hint="eastAsia" w:ascii="仿宋" w:hAnsi="仿宋" w:eastAsia="仿宋" w:cs="仿宋"/>
          <w:color w:val="000000"/>
          <w:sz w:val="24"/>
        </w:rPr>
        <w:t>甲乙双方因履行本合同或与本合同有关的一切通知都应当按照本合同中的地址，以书面信函或者传真或者电子邮件方式进行。其中：</w:t>
      </w:r>
    </w:p>
    <w:p w14:paraId="1312B921">
      <w:pPr>
        <w:spacing w:line="360" w:lineRule="exact"/>
        <w:ind w:firstLine="480" w:firstLineChars="200"/>
        <w:rPr>
          <w:rFonts w:ascii="仿宋" w:hAnsi="仿宋" w:eastAsia="仿宋" w:cs="仿宋"/>
          <w:color w:val="000000"/>
          <w:sz w:val="24"/>
          <w:szCs w:val="21"/>
        </w:rPr>
      </w:pPr>
      <w:r>
        <w:rPr>
          <w:rFonts w:ascii="仿宋" w:hAnsi="仿宋" w:eastAsia="仿宋" w:cs="仿宋"/>
          <w:color w:val="000000"/>
          <w:sz w:val="24"/>
        </w:rPr>
        <w:t>15.6.1除本合同另有约定外，有关下述任一事项的通知，均应当采用书面信函形式作出，否则，该通知无效，不产生本合同项下的通知效力：</w:t>
      </w:r>
    </w:p>
    <w:p w14:paraId="1CAADEEF">
      <w:pPr>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w:t>
      </w:r>
      <w:r>
        <w:rPr>
          <w:rFonts w:ascii="仿宋" w:hAnsi="仿宋" w:eastAsia="仿宋" w:cs="仿宋"/>
          <w:color w:val="000000"/>
          <w:sz w:val="24"/>
        </w:rPr>
        <w:t>1）与本合同费用及支付事宜有关的通知；</w:t>
      </w:r>
    </w:p>
    <w:p w14:paraId="25C8E44C">
      <w:pPr>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w:t>
      </w:r>
      <w:r>
        <w:rPr>
          <w:rFonts w:ascii="仿宋" w:hAnsi="仿宋" w:eastAsia="仿宋" w:cs="仿宋"/>
          <w:color w:val="000000"/>
          <w:sz w:val="24"/>
        </w:rPr>
        <w:t>2）与本合同违约事宜有关的通知；</w:t>
      </w:r>
    </w:p>
    <w:p w14:paraId="5463A939">
      <w:pPr>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w:t>
      </w:r>
      <w:r>
        <w:rPr>
          <w:rFonts w:ascii="仿宋" w:hAnsi="仿宋" w:eastAsia="仿宋" w:cs="仿宋"/>
          <w:color w:val="000000"/>
          <w:sz w:val="24"/>
        </w:rPr>
        <w:t>3）与本合同终止、解除或变更事宜有关的通知；</w:t>
      </w:r>
    </w:p>
    <w:p w14:paraId="147AED3A">
      <w:pPr>
        <w:spacing w:line="360" w:lineRule="exact"/>
        <w:ind w:firstLine="480" w:firstLineChars="200"/>
        <w:rPr>
          <w:rFonts w:hint="eastAsia" w:ascii="仿宋" w:hAnsi="仿宋" w:eastAsia="仿宋" w:cs="仿宋"/>
          <w:color w:val="000000"/>
          <w:sz w:val="24"/>
          <w:lang w:val="en-US" w:eastAsia="zh-CN"/>
        </w:rPr>
      </w:pPr>
      <w:r>
        <w:rPr>
          <w:rFonts w:hint="eastAsia" w:ascii="仿宋" w:hAnsi="仿宋" w:eastAsia="仿宋" w:cs="仿宋"/>
          <w:color w:val="000000"/>
          <w:sz w:val="24"/>
        </w:rPr>
        <w:t>（</w:t>
      </w:r>
      <w:r>
        <w:rPr>
          <w:rFonts w:ascii="仿宋" w:hAnsi="仿宋" w:eastAsia="仿宋" w:cs="仿宋"/>
          <w:color w:val="000000"/>
          <w:sz w:val="24"/>
        </w:rPr>
        <w:t>4）与本合同延续/续展有关的通知</w:t>
      </w:r>
      <w:r>
        <w:rPr>
          <w:rFonts w:hint="eastAsia" w:ascii="仿宋" w:hAnsi="仿宋" w:eastAsia="仿宋" w:cs="仿宋"/>
          <w:color w:val="000000"/>
          <w:sz w:val="24"/>
          <w:lang w:eastAsia="zh-CN"/>
        </w:rPr>
        <w:t>。</w:t>
      </w:r>
    </w:p>
    <w:p w14:paraId="389FB07F">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.6.2本合同约定的各种通知方式的送达标准如下：</w:t>
      </w:r>
    </w:p>
    <w:p w14:paraId="21020C2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1）如采用书面信函形式，应当使用挂号信或者具有良好信誉的特快专递送达，接受方签收挂号信或特快专递的时间（以邮局或快递公司系统记录为准）为通知送达时间；</w:t>
      </w:r>
    </w:p>
    <w:p w14:paraId="7E3B691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2）如采用传真方式，传真到达接受方指定传真系统的时间为通知送达时间；</w:t>
      </w:r>
    </w:p>
    <w:p w14:paraId="27A6FE6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3）如采用电子邮件方式，电子邮件到达接受方指定电子邮箱的时间为通知送达时间。</w:t>
      </w:r>
    </w:p>
    <w:p w14:paraId="5A8EA64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4）如采用甲方供应商门户网站在线提交的方式，信息表单正式创建提交系统的时间为通知送达时间。如甲方供应商门户网站关闭或故障，双方应立即使用书面信函形式或者传真或者电子邮件方式进行通知。</w:t>
      </w:r>
    </w:p>
    <w:p w14:paraId="5D630D5F">
      <w:pPr>
        <w:spacing w:line="360" w:lineRule="exact"/>
        <w:ind w:firstLine="480" w:firstLineChars="200"/>
        <w:rPr>
          <w:rFonts w:ascii="仿宋" w:hAnsi="仿宋" w:eastAsia="仿宋" w:cs="Times New Roman"/>
          <w:color w:val="000000"/>
          <w:sz w:val="24"/>
        </w:rPr>
      </w:pPr>
      <w:r>
        <w:rPr>
          <w:rFonts w:ascii="仿宋" w:hAnsi="仿宋" w:eastAsia="仿宋" w:cs="Times New Roman"/>
          <w:color w:val="000000"/>
          <w:sz w:val="24"/>
        </w:rPr>
        <w:t>如果因接受方原因（包括但不限于接受方拒收书面信函、接受方传真机关闭或故障、接受方电子邮箱地址不存在或者邮箱已满或者设置拒收等）导致通知发送失败，视为通知已经送达（发送方侧载明的书面信函寄出时间或者传真发送时间或者电子邮件发送时间视为通知送达时间）。</w:t>
      </w:r>
    </w:p>
    <w:p w14:paraId="58E522B6">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15</w:t>
      </w:r>
      <w:r>
        <w:rPr>
          <w:rFonts w:ascii="仿宋" w:hAnsi="仿宋" w:eastAsia="仿宋" w:cs="Times New Roman"/>
          <w:color w:val="000000"/>
          <w:sz w:val="24"/>
        </w:rPr>
        <w:t>.6.3</w:t>
      </w:r>
      <w:r>
        <w:rPr>
          <w:rFonts w:hint="eastAsia" w:ascii="仿宋" w:hAnsi="仿宋" w:eastAsia="仿宋" w:cs="Times New Roman"/>
          <w:color w:val="000000"/>
          <w:sz w:val="24"/>
        </w:rPr>
        <w:t>本合同双方通知地址及方式如下：</w:t>
      </w:r>
    </w:p>
    <w:p w14:paraId="6EAF936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甲方：中国电信[ 股份有限公司遵义分 ]公司</w:t>
      </w:r>
    </w:p>
    <w:p w14:paraId="5B6CE2F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地址：[ 贵州省遵义市大兴路249号 ]</w:t>
      </w:r>
    </w:p>
    <w:p w14:paraId="1113D70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联系人：[</w:t>
      </w:r>
      <w:r>
        <w:rPr>
          <w:rFonts w:hint="eastAsia" w:ascii="仿宋" w:hAnsi="仿宋" w:eastAsia="仿宋" w:cs="Times New Roman"/>
          <w:sz w:val="24"/>
          <w:lang w:val="en-US" w:eastAsia="zh-CN"/>
        </w:rPr>
        <w:t>李广彦</w:t>
      </w:r>
      <w:r>
        <w:rPr>
          <w:rFonts w:hint="eastAsia" w:ascii="仿宋" w:hAnsi="仿宋" w:eastAsia="仿宋" w:cs="Times New Roman"/>
          <w:sz w:val="24"/>
        </w:rPr>
        <w:t xml:space="preserve">  ]</w:t>
      </w:r>
    </w:p>
    <w:p w14:paraId="4234253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电话：[18908526800]</w:t>
      </w:r>
    </w:p>
    <w:p w14:paraId="3600C3C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传真：[ </w:t>
      </w:r>
      <w:r>
        <w:rPr>
          <w:rFonts w:hint="eastAsia" w:ascii="仿宋" w:hAnsi="仿宋" w:eastAsia="仿宋" w:cs="Times New Roman"/>
          <w:sz w:val="24"/>
          <w:lang w:val="en-US" w:eastAsia="zh-CN"/>
        </w:rPr>
        <w:t>/</w:t>
      </w:r>
      <w:r>
        <w:rPr>
          <w:rFonts w:hint="eastAsia" w:ascii="仿宋" w:hAnsi="仿宋" w:eastAsia="仿宋" w:cs="Times New Roman"/>
          <w:sz w:val="24"/>
        </w:rPr>
        <w:t xml:space="preserve"> ]</w:t>
      </w:r>
    </w:p>
    <w:p w14:paraId="1C517D5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邮编：[</w:t>
      </w:r>
      <w:r>
        <w:rPr>
          <w:rFonts w:hint="eastAsia" w:ascii="仿宋" w:hAnsi="仿宋" w:eastAsia="仿宋" w:cs="Times New Roman"/>
          <w:sz w:val="24"/>
          <w:lang w:val="en-US" w:eastAsia="zh-CN"/>
        </w:rPr>
        <w:t>/</w:t>
      </w:r>
      <w:r>
        <w:rPr>
          <w:rFonts w:hint="eastAsia" w:ascii="仿宋" w:hAnsi="仿宋" w:eastAsia="仿宋" w:cs="Times New Roman"/>
          <w:sz w:val="24"/>
        </w:rPr>
        <w:t xml:space="preserve">  ]</w:t>
      </w:r>
    </w:p>
    <w:p w14:paraId="585F8AC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电子邮箱：[ </w:t>
      </w:r>
      <w:r>
        <w:rPr>
          <w:rFonts w:hint="eastAsia" w:ascii="仿宋" w:hAnsi="仿宋" w:eastAsia="仿宋" w:cs="Times New Roman"/>
          <w:sz w:val="24"/>
          <w:lang w:val="en-US" w:eastAsia="zh-CN"/>
        </w:rPr>
        <w:t>/</w:t>
      </w:r>
      <w:r>
        <w:rPr>
          <w:rFonts w:hint="eastAsia" w:ascii="仿宋" w:hAnsi="仿宋" w:eastAsia="仿宋" w:cs="Times New Roman"/>
          <w:sz w:val="24"/>
        </w:rPr>
        <w:t xml:space="preserve"> ]</w:t>
      </w:r>
    </w:p>
    <w:p w14:paraId="585C330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乙方：</w:t>
      </w:r>
      <w:r>
        <w:rPr>
          <w:rFonts w:ascii="仿宋" w:hAnsi="仿宋" w:eastAsia="仿宋" w:cs="Times New Roman"/>
          <w:color w:val="000000"/>
          <w:kern w:val="0"/>
          <w:sz w:val="24"/>
          <w:szCs w:val="20"/>
          <w:lang w:val="en-US" w:eastAsia="zh-CN" w:bidi="ar-SA"/>
        </w:rPr>
        <w:t>[</w:t>
      </w:r>
      <w:r>
        <w:rPr>
          <w:rFonts w:hint="eastAsia" w:ascii="仿宋" w:hAnsi="仿宋" w:eastAsia="仿宋" w:cs="Times New Roman"/>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p>
    <w:p w14:paraId="5D92FF8A">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地  址：[</w:t>
      </w:r>
      <w:r>
        <w:rPr>
          <w:rFonts w:hint="eastAsia" w:ascii="仿宋" w:hAnsi="仿宋" w:eastAsia="仿宋" w:cs="Times New Roman"/>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p>
    <w:p w14:paraId="1A5A5CC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联系人：[</w:t>
      </w:r>
      <w:r>
        <w:rPr>
          <w:rFonts w:hint="eastAsia" w:ascii="仿宋" w:hAnsi="仿宋" w:eastAsia="仿宋" w:cs="Times New Roman"/>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p>
    <w:p w14:paraId="44D67F7E">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电  话：[</w:t>
      </w:r>
      <w:r>
        <w:rPr>
          <w:rFonts w:hint="eastAsia" w:ascii="仿宋" w:hAnsi="仿宋" w:eastAsia="仿宋" w:cs="Times New Roman"/>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p>
    <w:p w14:paraId="76B17133">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传  真：[</w:t>
      </w:r>
      <w:r>
        <w:rPr>
          <w:rFonts w:hint="eastAsia" w:ascii="仿宋" w:hAnsi="仿宋" w:eastAsia="仿宋" w:cs="Times New Roman"/>
          <w:color w:val="000000"/>
          <w:kern w:val="0"/>
          <w:sz w:val="24"/>
          <w:szCs w:val="20"/>
          <w:lang w:val="en-US" w:eastAsia="zh-CN" w:bidi="ar-SA"/>
        </w:rPr>
        <w:t xml:space="preserve"> </w:t>
      </w:r>
      <w:r>
        <w:rPr>
          <w:rFonts w:hint="eastAsia" w:ascii="仿宋" w:hAnsi="仿宋" w:eastAsia="仿宋" w:cs="Times New Roman"/>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w:t>
      </w:r>
    </w:p>
    <w:p w14:paraId="7CB69D3D">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ascii="仿宋" w:hAnsi="仿宋" w:eastAsia="仿宋" w:cs="Times New Roman"/>
          <w:color w:val="000000"/>
          <w:kern w:val="0"/>
          <w:sz w:val="24"/>
          <w:szCs w:val="20"/>
          <w:lang w:val="en-US" w:eastAsia="zh-CN" w:bidi="ar-SA"/>
        </w:rPr>
        <w:t xml:space="preserve">邮  编：[ </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 xml:space="preserve"> ]</w:t>
      </w:r>
    </w:p>
    <w:p w14:paraId="6829B096">
      <w:pPr>
        <w:widowControl w:val="0"/>
        <w:spacing w:line="360" w:lineRule="exact"/>
        <w:ind w:left="0" w:leftChars="0"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4"/>
          <w:lang w:val="en-US" w:eastAsia="zh-CN" w:bidi="ar-SA"/>
        </w:rPr>
        <w:t>电子邮箱</w:t>
      </w: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 xml:space="preserve">[ </w:t>
      </w:r>
      <w:r>
        <w:rPr>
          <w:rFonts w:hint="eastAsia" w:ascii="仿宋" w:hAnsi="仿宋" w:eastAsia="仿宋" w:cs="Times New Roman"/>
          <w:color w:val="000000"/>
          <w:kern w:val="0"/>
          <w:sz w:val="24"/>
          <w:szCs w:val="20"/>
          <w:lang w:val="en-US" w:eastAsia="zh-CN" w:bidi="ar-SA"/>
        </w:rPr>
        <w:t xml:space="preserve"> </w:t>
      </w:r>
      <w:r>
        <w:rPr>
          <w:rFonts w:ascii="仿宋" w:hAnsi="仿宋" w:eastAsia="仿宋" w:cs="Times New Roman"/>
          <w:color w:val="000000"/>
          <w:kern w:val="0"/>
          <w:sz w:val="24"/>
          <w:szCs w:val="20"/>
          <w:lang w:val="en-US" w:eastAsia="zh-CN" w:bidi="ar-SA"/>
        </w:rPr>
        <w:t xml:space="preserve"> ]</w:t>
      </w:r>
    </w:p>
    <w:p w14:paraId="20FE5540">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上述任何信息发生变更的，变更方应及时以书面形式通知另一方，未及时通知并影响本合同履行或造成损失的，应承担相应的责任。</w:t>
      </w:r>
    </w:p>
    <w:p w14:paraId="35FC6733">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.7未得到</w:t>
      </w:r>
      <w:r>
        <w:rPr>
          <w:rFonts w:hint="eastAsia" w:ascii="仿宋" w:hAnsi="仿宋" w:eastAsia="仿宋" w:cs="Times New Roman"/>
          <w:color w:val="000000"/>
          <w:kern w:val="0"/>
          <w:sz w:val="24"/>
          <w:szCs w:val="20"/>
          <w:lang w:val="en-US" w:eastAsia="zh-CN" w:bidi="ar-SA"/>
        </w:rPr>
        <w:t>甲</w:t>
      </w:r>
      <w:r>
        <w:rPr>
          <w:rFonts w:ascii="仿宋" w:hAnsi="仿宋" w:eastAsia="仿宋" w:cs="Times New Roman"/>
          <w:color w:val="000000"/>
          <w:kern w:val="0"/>
          <w:sz w:val="24"/>
          <w:szCs w:val="20"/>
          <w:lang w:val="en-US" w:eastAsia="zh-CN" w:bidi="ar-SA"/>
        </w:rPr>
        <w:t>方的书面许可，</w:t>
      </w:r>
      <w:r>
        <w:rPr>
          <w:rFonts w:hint="eastAsia" w:ascii="仿宋" w:hAnsi="仿宋" w:eastAsia="仿宋" w:cs="Times New Roman"/>
          <w:color w:val="000000"/>
          <w:kern w:val="0"/>
          <w:sz w:val="24"/>
          <w:szCs w:val="20"/>
          <w:lang w:val="en-US" w:eastAsia="zh-CN" w:bidi="ar-SA"/>
        </w:rPr>
        <w:t>乙</w:t>
      </w:r>
      <w:r>
        <w:rPr>
          <w:rFonts w:ascii="仿宋" w:hAnsi="仿宋" w:eastAsia="仿宋" w:cs="Times New Roman"/>
          <w:color w:val="000000"/>
          <w:kern w:val="0"/>
          <w:sz w:val="24"/>
          <w:szCs w:val="20"/>
          <w:lang w:val="en-US" w:eastAsia="zh-CN" w:bidi="ar-SA"/>
        </w:rPr>
        <w:t>方均不得以广告或在公共场合使用或摹仿对方的商业名称、商标、图案、服务标志、符号、代码、型号或缩写，</w:t>
      </w:r>
      <w:r>
        <w:rPr>
          <w:rFonts w:hint="eastAsia" w:ascii="仿宋" w:hAnsi="仿宋" w:eastAsia="仿宋" w:cs="Times New Roman"/>
          <w:color w:val="000000"/>
          <w:kern w:val="0"/>
          <w:sz w:val="24"/>
          <w:szCs w:val="20"/>
          <w:lang w:val="en-US" w:eastAsia="zh-CN" w:bidi="ar-SA"/>
        </w:rPr>
        <w:t>乙</w:t>
      </w:r>
      <w:r>
        <w:rPr>
          <w:rFonts w:ascii="仿宋" w:hAnsi="仿宋" w:eastAsia="仿宋" w:cs="Times New Roman"/>
          <w:color w:val="000000"/>
          <w:kern w:val="0"/>
          <w:sz w:val="24"/>
          <w:szCs w:val="20"/>
          <w:lang w:val="en-US" w:eastAsia="zh-CN" w:bidi="ar-SA"/>
        </w:rPr>
        <w:t>方均不得声称对</w:t>
      </w:r>
      <w:r>
        <w:rPr>
          <w:rFonts w:hint="eastAsia" w:ascii="仿宋" w:hAnsi="仿宋" w:eastAsia="仿宋" w:cs="Times New Roman"/>
          <w:color w:val="000000"/>
          <w:kern w:val="0"/>
          <w:sz w:val="24"/>
          <w:szCs w:val="20"/>
          <w:lang w:val="en-US" w:eastAsia="zh-CN" w:bidi="ar-SA"/>
        </w:rPr>
        <w:t>甲</w:t>
      </w:r>
      <w:r>
        <w:rPr>
          <w:rFonts w:ascii="仿宋" w:hAnsi="仿宋" w:eastAsia="仿宋" w:cs="Times New Roman"/>
          <w:color w:val="000000"/>
          <w:kern w:val="0"/>
          <w:sz w:val="24"/>
          <w:szCs w:val="20"/>
          <w:lang w:val="en-US" w:eastAsia="zh-CN" w:bidi="ar-SA"/>
        </w:rPr>
        <w:t>方的商业名称、商标、图案、服务标志、符号、代码、型号或缩写拥有所有权。</w:t>
      </w:r>
    </w:p>
    <w:p w14:paraId="1CB225C9">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.8本合同各条标题仅为提示之用，应以条文内容确定各方的权利义务。</w:t>
      </w:r>
    </w:p>
    <w:p w14:paraId="130830AF">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.9如果本合同的任何条款在任何时候变成不合法、无效或不可强制执行而不从根本上影响本合同的效力时，本合同的其</w:t>
      </w:r>
      <w:r>
        <w:rPr>
          <w:rFonts w:hint="eastAsia" w:ascii="仿宋" w:hAnsi="仿宋" w:eastAsia="仿宋" w:cs="Times New Roman"/>
          <w:color w:val="000000"/>
          <w:kern w:val="0"/>
          <w:sz w:val="24"/>
          <w:szCs w:val="20"/>
          <w:lang w:val="en-US" w:eastAsia="zh-CN" w:bidi="ar-SA"/>
        </w:rPr>
        <w:t>他条</w:t>
      </w:r>
      <w:r>
        <w:rPr>
          <w:rFonts w:ascii="仿宋" w:hAnsi="仿宋" w:eastAsia="仿宋" w:cs="Times New Roman"/>
          <w:color w:val="000000"/>
          <w:kern w:val="0"/>
          <w:sz w:val="24"/>
          <w:szCs w:val="20"/>
          <w:lang w:val="en-US" w:eastAsia="zh-CN" w:bidi="ar-SA"/>
        </w:rPr>
        <w:t>款不受影响。</w:t>
      </w:r>
    </w:p>
    <w:p w14:paraId="11F07441">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.10本合同的任何内容不应被视为或解释为双方之间具有合资、合伙、代理关系。</w:t>
      </w:r>
    </w:p>
    <w:p w14:paraId="6298BB09">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.11未经甲方书面同意，乙方</w:t>
      </w:r>
      <w:r>
        <w:rPr>
          <w:rFonts w:hint="eastAsia" w:ascii="仿宋" w:hAnsi="仿宋" w:eastAsia="仿宋" w:cs="Times New Roman"/>
          <w:color w:val="000000"/>
          <w:kern w:val="0"/>
          <w:sz w:val="24"/>
          <w:szCs w:val="20"/>
          <w:lang w:val="en-US" w:eastAsia="zh-CN" w:bidi="ar-SA"/>
        </w:rPr>
        <w:t>不得向第三方转让全部或部分权利，也不得以包括但不限于保理、质押等形式处分本合同项下的权利</w:t>
      </w:r>
      <w:r>
        <w:rPr>
          <w:rFonts w:ascii="仿宋" w:hAnsi="仿宋" w:eastAsia="仿宋" w:cs="Times New Roman"/>
          <w:color w:val="000000"/>
          <w:kern w:val="0"/>
          <w:sz w:val="24"/>
          <w:szCs w:val="20"/>
          <w:lang w:val="en-US" w:eastAsia="zh-CN" w:bidi="ar-SA"/>
        </w:rPr>
        <w:t>。</w:t>
      </w:r>
    </w:p>
    <w:p w14:paraId="7B42B866">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15</w:t>
      </w:r>
      <w:r>
        <w:rPr>
          <w:rFonts w:ascii="仿宋" w:hAnsi="仿宋" w:eastAsia="仿宋" w:cs="Times New Roman"/>
          <w:color w:val="000000"/>
          <w:kern w:val="0"/>
          <w:sz w:val="24"/>
          <w:szCs w:val="20"/>
          <w:lang w:val="en-US" w:eastAsia="zh-CN" w:bidi="ar-SA"/>
        </w:rPr>
        <w:t xml:space="preserve">.12 </w:t>
      </w:r>
      <w:r>
        <w:rPr>
          <w:rFonts w:hint="eastAsia" w:ascii="仿宋" w:hAnsi="仿宋" w:eastAsia="仿宋" w:cs="仿宋"/>
          <w:kern w:val="0"/>
          <w:sz w:val="24"/>
          <w:szCs w:val="20"/>
          <w:lang w:val="en-US" w:eastAsia="zh-CN" w:bidi="ar-SA"/>
        </w:rPr>
        <w:t>乙方保证</w:t>
      </w:r>
      <w:r>
        <w:rPr>
          <w:rFonts w:hint="eastAsia" w:ascii="仿宋" w:hAnsi="仿宋" w:eastAsia="仿宋" w:cs="Times New Roman"/>
          <w:kern w:val="0"/>
          <w:sz w:val="24"/>
          <w:szCs w:val="20"/>
          <w:lang w:val="en-US" w:eastAsia="zh-CN" w:bidi="ar-SA"/>
        </w:rPr>
        <w:t>乙方和/或其所代表的制造商（如有）、软件著作权人（如有）、知识产权权利人（如有）</w:t>
      </w:r>
      <w:r>
        <w:rPr>
          <w:rFonts w:hint="eastAsia" w:ascii="仿宋" w:hAnsi="仿宋" w:eastAsia="仿宋" w:cs="仿宋"/>
          <w:kern w:val="0"/>
          <w:sz w:val="24"/>
          <w:szCs w:val="20"/>
          <w:lang w:val="en-US" w:eastAsia="zh-CN" w:bidi="ar-SA"/>
        </w:rPr>
        <w:t>等第三方</w:t>
      </w:r>
      <w:r>
        <w:rPr>
          <w:rFonts w:hint="eastAsia" w:ascii="仿宋" w:hAnsi="仿宋" w:eastAsia="仿宋" w:cs="Times New Roman"/>
          <w:kern w:val="0"/>
          <w:sz w:val="24"/>
          <w:szCs w:val="20"/>
          <w:lang w:val="en-US" w:eastAsia="zh-CN" w:bidi="ar-SA"/>
        </w:rPr>
        <w:t>接受不时修订的《中国电信供应商不良行为管理规则》（发布于“中国电信阳光采购网”[</w:t>
      </w:r>
      <w:r>
        <w:rPr>
          <w:rFonts w:ascii="仿宋" w:hAnsi="仿宋" w:eastAsia="仿宋" w:cs="Times New Roman"/>
          <w:kern w:val="0"/>
          <w:sz w:val="24"/>
          <w:szCs w:val="20"/>
          <w:lang w:val="en-US" w:eastAsia="zh-CN" w:bidi="ar-SA"/>
        </w:rPr>
        <w:t>https://caigou.chinatelecom.com.cn/MSS-PORTAL/account/login.do]</w:t>
      </w:r>
      <w:r>
        <w:rPr>
          <w:rFonts w:hint="eastAsia" w:ascii="仿宋" w:hAnsi="仿宋" w:eastAsia="仿宋" w:cs="Times New Roman"/>
          <w:kern w:val="0"/>
          <w:sz w:val="24"/>
          <w:szCs w:val="20"/>
          <w:lang w:val="en-US" w:eastAsia="zh-CN" w:bidi="ar-SA"/>
        </w:rPr>
        <w:t>）的承诺，，甲方有权按照《中国电信供应商不良行为管理规则》，对乙方和/或其代表的制造商（如有）、软件著作权人（如有）、知识产权权利人（如有）</w:t>
      </w:r>
      <w:r>
        <w:rPr>
          <w:rFonts w:hint="eastAsia" w:ascii="仿宋" w:hAnsi="仿宋" w:eastAsia="仿宋" w:cs="仿宋"/>
          <w:kern w:val="0"/>
          <w:sz w:val="24"/>
          <w:szCs w:val="20"/>
          <w:lang w:val="en-US" w:eastAsia="zh-CN" w:bidi="ar-SA"/>
        </w:rPr>
        <w:t>等第三方</w:t>
      </w:r>
      <w:r>
        <w:rPr>
          <w:rFonts w:hint="eastAsia" w:ascii="仿宋" w:hAnsi="仿宋" w:eastAsia="仿宋" w:cs="Times New Roman"/>
          <w:kern w:val="0"/>
          <w:sz w:val="24"/>
          <w:szCs w:val="20"/>
          <w:lang w:val="en-US" w:eastAsia="zh-CN" w:bidi="ar-SA"/>
        </w:rPr>
        <w:t>进行不良行为管理和处理。</w:t>
      </w:r>
    </w:p>
    <w:p w14:paraId="0E6415CF">
      <w:pPr>
        <w:spacing w:line="360" w:lineRule="exact"/>
        <w:ind w:firstLine="480" w:firstLineChars="200"/>
        <w:rPr>
          <w:rFonts w:ascii="仿宋" w:hAnsi="仿宋" w:eastAsia="仿宋" w:cs="Times New Roman"/>
          <w:color w:val="000000"/>
          <w:kern w:val="0"/>
          <w:sz w:val="24"/>
          <w:szCs w:val="20"/>
        </w:rPr>
      </w:pPr>
      <w:r>
        <w:rPr>
          <w:rFonts w:hint="eastAsia" w:ascii="仿宋" w:hAnsi="仿宋" w:eastAsia="仿宋" w:cs="Times New Roman"/>
          <w:color w:val="000000"/>
          <w:kern w:val="0"/>
          <w:sz w:val="24"/>
        </w:rPr>
        <w:t>15.13</w:t>
      </w:r>
      <w:r>
        <w:rPr>
          <w:rFonts w:hint="eastAsia" w:ascii="仿宋" w:hAnsi="仿宋" w:eastAsia="仿宋" w:cs="Times New Roman"/>
          <w:color w:val="000000"/>
          <w:kern w:val="0"/>
          <w:sz w:val="24"/>
          <w:szCs w:val="20"/>
        </w:rPr>
        <w:t>双方同意，下述文件</w:t>
      </w:r>
      <w:r>
        <w:rPr>
          <w:rFonts w:hint="eastAsia" w:ascii="仿宋" w:hAnsi="仿宋" w:eastAsia="仿宋" w:cs="Times New Roman"/>
          <w:color w:val="000000"/>
          <w:kern w:val="0"/>
          <w:sz w:val="24"/>
        </w:rPr>
        <w:t>是本合同不可分割的</w:t>
      </w:r>
      <w:r>
        <w:rPr>
          <w:rFonts w:hint="eastAsia" w:ascii="仿宋" w:hAnsi="仿宋" w:eastAsia="仿宋" w:cs="Times New Roman"/>
          <w:color w:val="000000"/>
          <w:kern w:val="0"/>
          <w:sz w:val="24"/>
          <w:szCs w:val="20"/>
        </w:rPr>
        <w:t>组成部分，并</w:t>
      </w:r>
      <w:r>
        <w:rPr>
          <w:rFonts w:hint="eastAsia" w:ascii="仿宋" w:hAnsi="仿宋" w:eastAsia="仿宋" w:cs="Times New Roman"/>
          <w:color w:val="000000"/>
          <w:kern w:val="0"/>
          <w:sz w:val="24"/>
        </w:rPr>
        <w:t>与</w:t>
      </w:r>
      <w:r>
        <w:rPr>
          <w:rFonts w:hint="eastAsia" w:ascii="仿宋" w:hAnsi="仿宋" w:eastAsia="仿宋" w:cs="Times New Roman"/>
          <w:color w:val="000000"/>
          <w:kern w:val="0"/>
          <w:sz w:val="24"/>
          <w:szCs w:val="20"/>
        </w:rPr>
        <w:t>本</w:t>
      </w:r>
      <w:r>
        <w:rPr>
          <w:rFonts w:hint="eastAsia" w:ascii="仿宋" w:hAnsi="仿宋" w:eastAsia="仿宋" w:cs="Times New Roman"/>
          <w:color w:val="000000"/>
          <w:kern w:val="0"/>
          <w:sz w:val="24"/>
        </w:rPr>
        <w:t>合同</w:t>
      </w:r>
      <w:r>
        <w:rPr>
          <w:rFonts w:hint="eastAsia" w:ascii="仿宋" w:hAnsi="仿宋" w:eastAsia="仿宋" w:cs="Times New Roman"/>
          <w:color w:val="000000"/>
          <w:kern w:val="0"/>
          <w:sz w:val="24"/>
          <w:szCs w:val="20"/>
        </w:rPr>
        <w:t>文件一起阅读和解释：</w:t>
      </w:r>
    </w:p>
    <w:p w14:paraId="467217E0">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1）本合同正文；</w:t>
      </w:r>
    </w:p>
    <w:p w14:paraId="25840FF5">
      <w:pPr>
        <w:spacing w:line="360" w:lineRule="exact"/>
        <w:ind w:firstLine="480" w:firstLineChars="200"/>
        <w:jc w:val="left"/>
        <w:rPr>
          <w:rFonts w:ascii="仿宋" w:hAnsi="仿宋" w:eastAsia="仿宋" w:cs="Times New Roman"/>
          <w:color w:val="000000"/>
          <w:sz w:val="24"/>
        </w:rPr>
      </w:pPr>
      <w:r>
        <w:rPr>
          <w:rFonts w:hint="eastAsia" w:ascii="仿宋" w:hAnsi="仿宋" w:eastAsia="仿宋" w:cs="Times New Roman"/>
          <w:color w:val="000000"/>
          <w:sz w:val="24"/>
        </w:rPr>
        <w:t>（</w:t>
      </w:r>
      <w:r>
        <w:rPr>
          <w:rFonts w:ascii="仿宋" w:hAnsi="仿宋" w:eastAsia="仿宋" w:cs="Times New Roman"/>
          <w:color w:val="000000"/>
          <w:sz w:val="24"/>
        </w:rPr>
        <w:t>2）合同附件</w:t>
      </w:r>
      <w:r>
        <w:rPr>
          <w:rFonts w:hint="eastAsia" w:ascii="仿宋" w:hAnsi="仿宋" w:eastAsia="仿宋" w:cs="Times New Roman"/>
          <w:color w:val="000000"/>
          <w:sz w:val="24"/>
        </w:rPr>
        <w:t>（如有）</w:t>
      </w:r>
      <w:r>
        <w:rPr>
          <w:rFonts w:ascii="仿宋" w:hAnsi="仿宋" w:eastAsia="仿宋" w:cs="Times New Roman"/>
          <w:color w:val="000000"/>
          <w:sz w:val="24"/>
        </w:rPr>
        <w:t xml:space="preserve">； </w:t>
      </w:r>
    </w:p>
    <w:p w14:paraId="30A4EAA8">
      <w:pPr>
        <w:spacing w:line="360" w:lineRule="exact"/>
        <w:ind w:firstLine="480" w:firstLineChars="200"/>
        <w:rPr>
          <w:rFonts w:ascii="仿宋" w:hAnsi="仿宋" w:eastAsia="仿宋" w:cs="Times New Roman"/>
          <w:color w:val="000000"/>
          <w:kern w:val="0"/>
          <w:sz w:val="24"/>
        </w:rPr>
      </w:pPr>
      <w:r>
        <w:rPr>
          <w:rFonts w:hint="eastAsia" w:ascii="仿宋" w:hAnsi="仿宋" w:eastAsia="仿宋" w:cs="Times New Roman"/>
          <w:color w:val="000000"/>
          <w:kern w:val="0"/>
          <w:sz w:val="24"/>
        </w:rPr>
        <w:t>（</w:t>
      </w:r>
      <w:r>
        <w:rPr>
          <w:rFonts w:ascii="仿宋" w:hAnsi="仿宋" w:eastAsia="仿宋" w:cs="Times New Roman"/>
          <w:color w:val="000000"/>
          <w:kern w:val="0"/>
          <w:sz w:val="24"/>
        </w:rPr>
        <w:t>3）中标/中选/成交通知书</w:t>
      </w:r>
      <w:r>
        <w:rPr>
          <w:rFonts w:hint="eastAsia" w:ascii="仿宋" w:hAnsi="仿宋" w:eastAsia="仿宋" w:cs="Times New Roman"/>
          <w:color w:val="000000"/>
          <w:sz w:val="24"/>
        </w:rPr>
        <w:t>（如有）</w:t>
      </w:r>
      <w:r>
        <w:rPr>
          <w:rFonts w:ascii="仿宋" w:hAnsi="仿宋" w:eastAsia="仿宋" w:cs="Times New Roman"/>
          <w:color w:val="000000"/>
          <w:kern w:val="0"/>
          <w:sz w:val="24"/>
        </w:rPr>
        <w:t xml:space="preserve">； </w:t>
      </w:r>
    </w:p>
    <w:p w14:paraId="66EBBE7C">
      <w:pPr>
        <w:spacing w:line="360" w:lineRule="exact"/>
        <w:ind w:firstLine="480" w:firstLineChars="200"/>
        <w:rPr>
          <w:rFonts w:ascii="仿宋" w:hAnsi="仿宋" w:eastAsia="仿宋" w:cs="Times New Roman"/>
          <w:color w:val="000000"/>
          <w:kern w:val="0"/>
          <w:sz w:val="24"/>
        </w:rPr>
      </w:pPr>
      <w:r>
        <w:rPr>
          <w:rFonts w:hint="eastAsia" w:ascii="仿宋" w:hAnsi="仿宋" w:eastAsia="仿宋" w:cs="Times New Roman"/>
          <w:color w:val="000000"/>
          <w:kern w:val="0"/>
          <w:sz w:val="24"/>
        </w:rPr>
        <w:t>（</w:t>
      </w:r>
      <w:r>
        <w:rPr>
          <w:rFonts w:ascii="仿宋" w:hAnsi="仿宋" w:eastAsia="仿宋" w:cs="Times New Roman"/>
          <w:color w:val="000000"/>
          <w:kern w:val="0"/>
          <w:sz w:val="24"/>
        </w:rPr>
        <w:t>4）投标文件/参选文件/应答文件</w:t>
      </w:r>
      <w:r>
        <w:rPr>
          <w:rFonts w:hint="eastAsia" w:ascii="仿宋" w:hAnsi="仿宋" w:eastAsia="仿宋" w:cs="Times New Roman"/>
          <w:color w:val="000000"/>
          <w:sz w:val="24"/>
        </w:rPr>
        <w:t>（如有）</w:t>
      </w:r>
      <w:r>
        <w:rPr>
          <w:rFonts w:ascii="仿宋" w:hAnsi="仿宋" w:eastAsia="仿宋" w:cs="Times New Roman"/>
          <w:color w:val="000000"/>
          <w:kern w:val="0"/>
          <w:sz w:val="24"/>
        </w:rPr>
        <w:t>；</w:t>
      </w:r>
    </w:p>
    <w:p w14:paraId="332F174E">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w:t>
      </w:r>
      <w:r>
        <w:rPr>
          <w:rFonts w:ascii="仿宋" w:hAnsi="仿宋" w:eastAsia="仿宋" w:cs="Times New Roman"/>
          <w:color w:val="000000"/>
          <w:kern w:val="0"/>
          <w:sz w:val="24"/>
          <w:szCs w:val="20"/>
          <w:lang w:val="en-US" w:eastAsia="zh-CN" w:bidi="ar-SA"/>
        </w:rPr>
        <w:t>5）其</w:t>
      </w:r>
      <w:r>
        <w:rPr>
          <w:rFonts w:hint="eastAsia" w:ascii="仿宋" w:hAnsi="仿宋" w:eastAsia="仿宋" w:cs="Times New Roman"/>
          <w:color w:val="000000"/>
          <w:kern w:val="0"/>
          <w:sz w:val="24"/>
          <w:szCs w:val="20"/>
          <w:lang w:val="en-US" w:eastAsia="zh-CN" w:bidi="ar-SA"/>
        </w:rPr>
        <w:t>他明确双方权利义务的合同性文件（如有）。</w:t>
      </w:r>
    </w:p>
    <w:p w14:paraId="1E7CD21C">
      <w:pPr>
        <w:widowControl w:val="0"/>
        <w:spacing w:line="360" w:lineRule="exact"/>
        <w:ind w:firstLine="480" w:firstLineChars="200"/>
        <w:jc w:val="both"/>
        <w:rPr>
          <w:rFonts w:ascii="仿宋" w:hAnsi="仿宋" w:eastAsia="仿宋" w:cs="Times New Roman"/>
          <w:color w:val="000000"/>
          <w:kern w:val="0"/>
          <w:sz w:val="24"/>
          <w:szCs w:val="24"/>
          <w:lang w:val="en-US" w:eastAsia="zh-CN" w:bidi="ar-SA"/>
        </w:rPr>
      </w:pPr>
      <w:r>
        <w:rPr>
          <w:rFonts w:hint="eastAsia" w:ascii="仿宋" w:hAnsi="仿宋" w:eastAsia="仿宋" w:cs="Times New Roman"/>
          <w:color w:val="000000"/>
          <w:kern w:val="0"/>
          <w:sz w:val="24"/>
          <w:szCs w:val="20"/>
          <w:lang w:val="en-US" w:eastAsia="zh-CN" w:bidi="ar-SA"/>
        </w:rPr>
        <w:t>上述各文件彼此相互解释、相互补充，如在上述文件之间出现含糊或冲突之处，就同一事项的解释，应当以本条上述排列次序在先的文件所表述的意思为准；当同一顺序的多份文件之间发生内容冲突时，应以文件形成时间较后的为准。对于同一类合同文件，以其最新版本为准</w:t>
      </w:r>
      <w:r>
        <w:rPr>
          <w:rFonts w:hint="eastAsia" w:ascii="仿宋" w:hAnsi="仿宋" w:eastAsia="仿宋" w:cs="Times New Roman"/>
          <w:color w:val="000000"/>
          <w:kern w:val="0"/>
          <w:sz w:val="24"/>
          <w:szCs w:val="24"/>
          <w:lang w:val="en-US" w:eastAsia="zh-CN" w:bidi="ar-SA"/>
        </w:rPr>
        <w:t>。</w:t>
      </w:r>
    </w:p>
    <w:p w14:paraId="3BEBBDB9">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p>
    <w:p w14:paraId="758FF0E6">
      <w:pPr>
        <w:widowControl w:val="0"/>
        <w:spacing w:line="360" w:lineRule="exact"/>
        <w:ind w:firstLine="480" w:firstLineChars="200"/>
        <w:jc w:val="both"/>
        <w:rPr>
          <w:rFonts w:ascii="仿宋" w:hAnsi="仿宋" w:eastAsia="仿宋" w:cs="Times New Roman"/>
          <w:color w:val="000000"/>
          <w:kern w:val="0"/>
          <w:sz w:val="24"/>
          <w:szCs w:val="20"/>
          <w:lang w:val="en-US" w:eastAsia="zh-CN" w:bidi="ar-SA"/>
        </w:rPr>
      </w:pPr>
      <w:r>
        <w:rPr>
          <w:rFonts w:hint="eastAsia" w:ascii="仿宋" w:hAnsi="仿宋" w:eastAsia="仿宋" w:cs="Times New Roman"/>
          <w:color w:val="000000"/>
          <w:kern w:val="0"/>
          <w:sz w:val="24"/>
          <w:szCs w:val="20"/>
          <w:lang w:val="en-US" w:eastAsia="zh-CN" w:bidi="ar-SA"/>
        </w:rPr>
        <w:t>本合同附件为：</w:t>
      </w:r>
    </w:p>
    <w:p w14:paraId="65B36287">
      <w:pPr>
        <w:spacing w:line="360" w:lineRule="exact"/>
        <w:ind w:firstLine="480" w:firstLineChars="200"/>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附件一：</w:t>
      </w:r>
      <w:r>
        <w:rPr>
          <w:rFonts w:hint="eastAsia" w:ascii="仿宋" w:hAnsi="仿宋" w:eastAsia="仿宋" w:cs="Times New Roman"/>
          <w:color w:val="000000"/>
          <w:sz w:val="24"/>
          <w:lang w:val="en-US" w:eastAsia="zh-CN"/>
        </w:rPr>
        <w:t>报价表</w:t>
      </w:r>
    </w:p>
    <w:p w14:paraId="07F62C96">
      <w:pPr>
        <w:spacing w:line="360" w:lineRule="exact"/>
        <w:ind w:firstLine="480" w:firstLineChars="200"/>
        <w:rPr>
          <w:rFonts w:hint="eastAsia" w:ascii="仿宋" w:hAnsi="仿宋" w:eastAsia="仿宋" w:cs="Times New Roman"/>
          <w:color w:val="000000"/>
          <w:sz w:val="24"/>
          <w:lang w:val="en-US" w:eastAsia="zh-CN"/>
        </w:rPr>
      </w:pPr>
      <w:r>
        <w:rPr>
          <w:rFonts w:hint="eastAsia" w:ascii="仿宋" w:hAnsi="仿宋" w:eastAsia="仿宋" w:cs="Times New Roman"/>
          <w:color w:val="000000"/>
          <w:sz w:val="24"/>
        </w:rPr>
        <w:t>附件二：</w:t>
      </w:r>
      <w:r>
        <w:rPr>
          <w:rFonts w:hint="eastAsia" w:ascii="仿宋" w:hAnsi="仿宋" w:eastAsia="仿宋" w:cs="Times New Roman"/>
          <w:color w:val="000000"/>
          <w:sz w:val="24"/>
          <w:lang w:val="en-US" w:eastAsia="zh-CN"/>
        </w:rPr>
        <w:t>技术规范书</w:t>
      </w:r>
    </w:p>
    <w:p w14:paraId="6D287D91">
      <w:pPr>
        <w:spacing w:line="360" w:lineRule="exact"/>
        <w:ind w:firstLine="480" w:firstLineChars="200"/>
        <w:rPr>
          <w:rFonts w:hint="eastAsia" w:ascii="仿宋" w:hAnsi="仿宋" w:eastAsia="仿宋" w:cs="Times New Roman"/>
          <w:color w:val="000000"/>
          <w:sz w:val="24"/>
        </w:rPr>
      </w:pPr>
      <w:r>
        <w:rPr>
          <w:rFonts w:hint="eastAsia" w:ascii="仿宋" w:hAnsi="仿宋" w:eastAsia="仿宋" w:cs="Times New Roman"/>
          <w:color w:val="000000"/>
          <w:sz w:val="24"/>
        </w:rPr>
        <w:t>附件三：安全生产管理责任书</w:t>
      </w:r>
    </w:p>
    <w:p w14:paraId="7C7EB3BA">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附件四：</w:t>
      </w:r>
      <w:r>
        <w:rPr>
          <w:rFonts w:hint="eastAsia" w:ascii="仿宋" w:hAnsi="仿宋" w:eastAsia="仿宋" w:cs="Times New Roman"/>
          <w:sz w:val="24"/>
          <w:lang w:val="en-US" w:eastAsia="zh-CN"/>
        </w:rPr>
        <w:t>外部组件软件成分信息清单</w:t>
      </w:r>
    </w:p>
    <w:p w14:paraId="61EBBA15">
      <w:pPr>
        <w:spacing w:line="360" w:lineRule="exact"/>
        <w:ind w:firstLine="480" w:firstLineChars="200"/>
        <w:rPr>
          <w:rFonts w:hint="eastAsia" w:ascii="仿宋" w:hAnsi="仿宋" w:eastAsia="仿宋" w:cs="Times New Roman"/>
          <w:sz w:val="24"/>
          <w:lang w:val="en-US" w:eastAsia="zh-CN"/>
        </w:rPr>
      </w:pPr>
      <w:r>
        <w:rPr>
          <w:rFonts w:hint="eastAsia" w:ascii="仿宋" w:hAnsi="仿宋" w:eastAsia="仿宋" w:cs="Times New Roman"/>
          <w:color w:val="000000"/>
          <w:sz w:val="24"/>
        </w:rPr>
        <w:t>附件五：</w:t>
      </w:r>
      <w:r>
        <w:rPr>
          <w:rFonts w:hint="eastAsia" w:ascii="仿宋" w:hAnsi="仿宋" w:eastAsia="仿宋" w:cs="Times New Roman"/>
          <w:sz w:val="24"/>
          <w:lang w:val="en-US" w:eastAsia="zh-CN"/>
        </w:rPr>
        <w:t>保密承诺函</w:t>
      </w:r>
    </w:p>
    <w:p w14:paraId="5EE177B1">
      <w:pPr>
        <w:spacing w:line="360" w:lineRule="exact"/>
        <w:ind w:firstLine="480" w:firstLineChars="200"/>
        <w:rPr>
          <w:rFonts w:hint="default" w:ascii="仿宋" w:hAnsi="仿宋" w:eastAsia="仿宋" w:cs="Times New Roman"/>
          <w:sz w:val="24"/>
          <w:lang w:val="en-US" w:eastAsia="zh-CN"/>
        </w:rPr>
      </w:pPr>
      <w:r>
        <w:rPr>
          <w:rFonts w:hint="eastAsia" w:ascii="仿宋" w:hAnsi="仿宋" w:eastAsia="仿宋" w:cs="Times New Roman"/>
          <w:color w:val="000000"/>
          <w:sz w:val="24"/>
        </w:rPr>
        <w:t>附件六：</w:t>
      </w:r>
      <w:r>
        <w:rPr>
          <w:rFonts w:hint="eastAsia" w:ascii="仿宋" w:hAnsi="仿宋" w:eastAsia="仿宋" w:cs="Times New Roman"/>
          <w:sz w:val="24"/>
          <w:lang w:val="en-US" w:eastAsia="zh-CN"/>
        </w:rPr>
        <w:t>服务项目人员名单</w:t>
      </w:r>
    </w:p>
    <w:p w14:paraId="7D13DE99">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color w:val="000000"/>
          <w:sz w:val="24"/>
        </w:rPr>
        <w:t>附件七：网络及信息安全承诺书</w:t>
      </w:r>
    </w:p>
    <w:p w14:paraId="6E74107B">
      <w:pPr>
        <w:spacing w:line="360" w:lineRule="exact"/>
        <w:ind w:firstLine="480" w:firstLineChars="200"/>
        <w:rPr>
          <w:rFonts w:hint="eastAsia" w:ascii="仿宋" w:hAnsi="仿宋" w:eastAsia="仿宋" w:cs="Times New Roman"/>
          <w:sz w:val="24"/>
        </w:rPr>
      </w:pPr>
      <w:r>
        <w:rPr>
          <w:rFonts w:hint="eastAsia" w:ascii="仿宋" w:hAnsi="仿宋" w:eastAsia="仿宋" w:cs="Times New Roman"/>
          <w:color w:val="000000"/>
          <w:sz w:val="24"/>
        </w:rPr>
        <w:t>附件八：</w:t>
      </w:r>
      <w:r>
        <w:rPr>
          <w:rFonts w:hint="eastAsia" w:ascii="仿宋" w:hAnsi="仿宋" w:eastAsia="仿宋" w:cs="Times New Roman"/>
          <w:sz w:val="24"/>
        </w:rPr>
        <w:t>廉洁协议</w:t>
      </w:r>
    </w:p>
    <w:p w14:paraId="15E77948">
      <w:pPr>
        <w:pStyle w:val="46"/>
        <w:ind w:firstLine="480" w:firstLineChars="200"/>
        <w:rPr>
          <w:rFonts w:hint="default" w:eastAsia="仿宋"/>
          <w:lang w:val="en-US" w:eastAsia="zh-CN"/>
        </w:rPr>
      </w:pPr>
      <w:r>
        <w:rPr>
          <w:rFonts w:hint="eastAsia" w:ascii="仿宋" w:hAnsi="仿宋" w:eastAsia="仿宋" w:cs="Times New Roman"/>
          <w:sz w:val="24"/>
          <w:lang w:val="en-US" w:eastAsia="zh-CN"/>
        </w:rPr>
        <w:t xml:space="preserve">附件九：响应文件正偏离信息表 </w:t>
      </w:r>
    </w:p>
    <w:p w14:paraId="5C549A47">
      <w:pPr>
        <w:spacing w:line="360" w:lineRule="exact"/>
        <w:rPr>
          <w:rFonts w:ascii="仿宋" w:hAnsi="仿宋" w:eastAsia="仿宋" w:cs="Times New Roman"/>
          <w:color w:val="000000"/>
          <w:sz w:val="24"/>
        </w:rPr>
      </w:pPr>
    </w:p>
    <w:p w14:paraId="49D44A7C">
      <w:pPr>
        <w:spacing w:line="360" w:lineRule="exact"/>
        <w:ind w:firstLine="480" w:firstLineChars="200"/>
        <w:jc w:val="left"/>
        <w:rPr>
          <w:rFonts w:ascii="仿宋" w:hAnsi="仿宋" w:eastAsia="仿宋" w:cs="Times New Roman"/>
          <w:color w:val="000000"/>
          <w:sz w:val="24"/>
        </w:rPr>
      </w:pPr>
    </w:p>
    <w:p w14:paraId="4A163879">
      <w:pPr>
        <w:spacing w:line="360" w:lineRule="exact"/>
        <w:rPr>
          <w:rFonts w:ascii="仿宋" w:hAnsi="仿宋" w:eastAsia="仿宋" w:cs="Times New Roman"/>
          <w:color w:val="000000"/>
          <w:sz w:val="24"/>
        </w:rPr>
      </w:pPr>
    </w:p>
    <w:p w14:paraId="76C830EF">
      <w:pPr>
        <w:spacing w:line="360" w:lineRule="exact"/>
        <w:jc w:val="center"/>
        <w:rPr>
          <w:rFonts w:ascii="仿宋" w:hAnsi="仿宋" w:eastAsia="仿宋" w:cs="Times New Roman"/>
          <w:b/>
          <w:color w:val="000000"/>
          <w:sz w:val="24"/>
        </w:rPr>
      </w:pPr>
      <w:r>
        <w:rPr>
          <w:rFonts w:hint="eastAsia" w:ascii="仿宋" w:hAnsi="仿宋" w:eastAsia="仿宋" w:cs="Times New Roman"/>
          <w:b/>
          <w:color w:val="000000"/>
          <w:sz w:val="24"/>
        </w:rPr>
        <w:t>补充附页</w:t>
      </w:r>
    </w:p>
    <w:p w14:paraId="2821FAC4">
      <w:pPr>
        <w:spacing w:line="360" w:lineRule="exact"/>
        <w:rPr>
          <w:rFonts w:hint="eastAsia" w:ascii="仿宋" w:hAnsi="仿宋" w:eastAsia="仿宋" w:cs="仿宋"/>
          <w:sz w:val="24"/>
        </w:rPr>
      </w:pPr>
      <w:r>
        <w:rPr>
          <w:rFonts w:hint="eastAsia" w:ascii="仿宋" w:hAnsi="仿宋" w:eastAsia="仿宋" w:cs="Times New Roman"/>
          <w:color w:val="000000"/>
          <w:sz w:val="24"/>
        </w:rPr>
        <w:t>经友好协商，对本合同条款补充、修改如下，本补充附页为合同正文的一部分，与合同正文冲突时，以本补充附页为准：</w:t>
      </w:r>
      <w:r>
        <w:rPr>
          <w:rFonts w:ascii="仿宋" w:hAnsi="仿宋" w:eastAsia="仿宋" w:cs="Times New Roman"/>
          <w:color w:val="000000"/>
          <w:sz w:val="24"/>
        </w:rPr>
        <w:t>[</w:t>
      </w:r>
      <w:bookmarkStart w:id="2316" w:name="_GoBack"/>
      <w:r>
        <w:rPr>
          <w:rFonts w:hint="eastAsia" w:ascii="仿宋" w:hAnsi="仿宋" w:eastAsia="仿宋" w:cs="仿宋"/>
          <w:sz w:val="24"/>
        </w:rPr>
        <w:t>经友好协商，对本合同条款补充、修改如下，本补充附页为合同正文的一部分，与合同正文冲突时，以本补充附页为准：合同双方确认，本合同一方不得向任何第三方转让本合同项下的债权，本合同另一方书面同意的除外。</w:t>
      </w:r>
    </w:p>
    <w:p w14:paraId="5D37DB17">
      <w:pPr>
        <w:spacing w:line="360" w:lineRule="exact"/>
        <w:ind w:firstLine="480" w:firstLineChars="200"/>
        <w:rPr>
          <w:rFonts w:ascii="仿宋" w:hAnsi="仿宋" w:eastAsia="仿宋" w:cs="Times New Roman"/>
          <w:color w:val="000000"/>
          <w:sz w:val="24"/>
        </w:rPr>
      </w:pPr>
      <w:r>
        <w:rPr>
          <w:rFonts w:hint="eastAsia" w:ascii="仿宋" w:hAnsi="仿宋" w:eastAsia="仿宋" w:cs="仿宋"/>
          <w:sz w:val="24"/>
        </w:rPr>
        <w:t xml:space="preserve">      组成本合同的文件包括：组成本合同的文件包括：1.本合同协议书；2.中标通知书；3.甲方在采购过程中发布的采购文件；4.乙方在采购过程中的应答文件；5.双方因项目洽商、变更等事项的其他书面协议或文件。上述各文件彼此相互解释、相互补充，如在上述文件之间出现意思不明或冲突之处，就同一事项的解释，应以本条上述排列次序在先的文件所表述的意思为准；当同一顺序的多份文件之间发生内容冲突时，应以文件形成时间较后的为准。对于同一类合同文件，以其最新版本为准。</w:t>
      </w:r>
    </w:p>
    <w:p w14:paraId="637365B8">
      <w:pPr>
        <w:spacing w:line="360" w:lineRule="exact"/>
        <w:ind w:firstLine="480" w:firstLineChars="200"/>
        <w:rPr>
          <w:rFonts w:ascii="仿宋" w:hAnsi="仿宋" w:eastAsia="仿宋" w:cs="Times New Roman"/>
          <w:color w:val="000000"/>
          <w:sz w:val="24"/>
        </w:rPr>
      </w:pPr>
      <w:r>
        <w:rPr>
          <w:rFonts w:hint="eastAsia" w:ascii="仿宋" w:hAnsi="仿宋" w:eastAsia="仿宋" w:cs="Times New Roman"/>
          <w:sz w:val="24"/>
        </w:rPr>
        <w:t>★</w:t>
      </w:r>
      <w:r>
        <w:rPr>
          <w:rFonts w:hint="eastAsia" w:ascii="仿宋" w:hAnsi="仿宋" w:eastAsia="仿宋" w:cs="Times New Roman"/>
          <w:sz w:val="24"/>
          <w:lang w:val="en-US" w:eastAsia="zh-CN"/>
        </w:rPr>
        <w:t>人员名单需作为合同附件，名单内人员变更需经甲方书面同意</w:t>
      </w:r>
      <w:r>
        <w:rPr>
          <w:rFonts w:hint="eastAsia" w:ascii="仿宋" w:hAnsi="仿宋" w:eastAsia="仿宋" w:cs="Times New Roman"/>
          <w:sz w:val="24"/>
        </w:rPr>
        <w:t>。</w:t>
      </w:r>
      <w:bookmarkEnd w:id="2316"/>
      <w:r>
        <w:rPr>
          <w:rFonts w:ascii="仿宋" w:hAnsi="仿宋" w:eastAsia="仿宋" w:cs="Times New Roman"/>
          <w:color w:val="000000"/>
          <w:sz w:val="24"/>
        </w:rPr>
        <w:t>]</w:t>
      </w:r>
    </w:p>
    <w:p w14:paraId="362F9E6B">
      <w:pPr>
        <w:spacing w:line="360" w:lineRule="exact"/>
        <w:jc w:val="center"/>
        <w:rPr>
          <w:rFonts w:ascii="仿宋" w:hAnsi="仿宋" w:eastAsia="仿宋" w:cs="Times New Roman"/>
          <w:sz w:val="24"/>
        </w:rPr>
      </w:pPr>
      <w:r>
        <w:rPr>
          <w:rFonts w:ascii="仿宋" w:hAnsi="仿宋" w:eastAsia="仿宋" w:cs="Times New Roman"/>
          <w:sz w:val="24"/>
        </w:rPr>
        <w:br w:type="page"/>
      </w:r>
      <w:r>
        <w:rPr>
          <w:rFonts w:ascii="仿宋" w:hAnsi="仿宋" w:eastAsia="仿宋" w:cs="Times New Roman"/>
          <w:sz w:val="24"/>
        </w:rPr>
        <w:t>（</w:t>
      </w:r>
      <w:r>
        <w:rPr>
          <w:rFonts w:hint="eastAsia" w:ascii="仿宋" w:hAnsi="仿宋" w:eastAsia="仿宋" w:cs="Times New Roman"/>
          <w:sz w:val="24"/>
        </w:rPr>
        <w:t>此页无正文</w:t>
      </w:r>
      <w:r>
        <w:rPr>
          <w:rFonts w:ascii="仿宋" w:hAnsi="仿宋" w:eastAsia="仿宋" w:cs="Times New Roman"/>
          <w:sz w:val="24"/>
        </w:rPr>
        <w:t>）</w:t>
      </w:r>
    </w:p>
    <w:p w14:paraId="2A104CBD">
      <w:pPr>
        <w:spacing w:line="360" w:lineRule="exact"/>
        <w:ind w:firstLine="480" w:firstLineChars="200"/>
        <w:rPr>
          <w:rFonts w:ascii="仿宋" w:hAnsi="仿宋" w:eastAsia="仿宋" w:cs="Times New Roman"/>
          <w:sz w:val="24"/>
        </w:rPr>
      </w:pPr>
    </w:p>
    <w:p w14:paraId="2046BD5B">
      <w:pPr>
        <w:spacing w:line="360" w:lineRule="exact"/>
        <w:rPr>
          <w:rFonts w:ascii="仿宋" w:hAnsi="仿宋" w:eastAsia="仿宋" w:cs="Times New Roman"/>
          <w:color w:val="000000"/>
          <w:sz w:val="24"/>
        </w:rPr>
      </w:pPr>
      <w:r>
        <w:rPr>
          <w:rFonts w:hint="eastAsia" w:ascii="仿宋" w:hAnsi="仿宋" w:eastAsia="仿宋" w:cs="Times New Roman"/>
          <w:color w:val="000000"/>
          <w:sz w:val="24"/>
        </w:rPr>
        <w:t>甲方：中国电信</w:t>
      </w:r>
      <w:r>
        <w:rPr>
          <w:rFonts w:ascii="仿宋" w:hAnsi="仿宋" w:eastAsia="仿宋" w:cs="Times New Roman"/>
          <w:color w:val="000000"/>
          <w:sz w:val="24"/>
        </w:rPr>
        <w:t>[</w:t>
      </w:r>
      <w:r>
        <w:rPr>
          <w:rFonts w:hint="eastAsia" w:ascii="仿宋" w:hAnsi="仿宋" w:eastAsia="仿宋" w:cs="Times New Roman"/>
          <w:color w:val="000000"/>
          <w:sz w:val="24"/>
          <w:lang w:val="en-US" w:eastAsia="zh-CN"/>
        </w:rPr>
        <w:t>股份有限公司遵义分</w:t>
      </w:r>
      <w:r>
        <w:rPr>
          <w:rFonts w:ascii="仿宋" w:hAnsi="仿宋" w:eastAsia="仿宋" w:cs="Times New Roman"/>
          <w:color w:val="000000"/>
          <w:sz w:val="24"/>
        </w:rPr>
        <w:t>]公司</w:t>
      </w:r>
    </w:p>
    <w:p w14:paraId="7DFB079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5D401DB3">
      <w:pPr>
        <w:spacing w:line="360" w:lineRule="exact"/>
        <w:rPr>
          <w:rFonts w:ascii="仿宋" w:hAnsi="仿宋" w:eastAsia="仿宋" w:cs="Times New Roman"/>
          <w:color w:val="000000"/>
          <w:sz w:val="24"/>
        </w:rPr>
      </w:pPr>
      <w:r>
        <w:rPr>
          <w:rFonts w:hint="eastAsia" w:ascii="仿宋" w:hAnsi="仿宋" w:eastAsia="仿宋" w:cs="Times New Roman"/>
          <w:color w:val="000000"/>
          <w:sz w:val="24"/>
        </w:rPr>
        <w:t>或授权代表：</w:t>
      </w:r>
    </w:p>
    <w:p w14:paraId="4B578821">
      <w:pPr>
        <w:spacing w:line="360" w:lineRule="exact"/>
        <w:rPr>
          <w:rFonts w:ascii="仿宋" w:hAnsi="仿宋" w:eastAsia="仿宋" w:cs="Times New Roman"/>
          <w:color w:val="000000"/>
          <w:sz w:val="24"/>
        </w:rPr>
      </w:pPr>
    </w:p>
    <w:p w14:paraId="09EC69F8">
      <w:pPr>
        <w:spacing w:line="360" w:lineRule="exact"/>
        <w:rPr>
          <w:rFonts w:ascii="仿宋" w:hAnsi="仿宋" w:eastAsia="仿宋" w:cs="Times New Roman"/>
          <w:color w:val="000000"/>
          <w:sz w:val="24"/>
        </w:rPr>
      </w:pPr>
    </w:p>
    <w:p w14:paraId="5A028205">
      <w:pPr>
        <w:spacing w:line="360" w:lineRule="exact"/>
        <w:rPr>
          <w:rFonts w:ascii="仿宋" w:hAnsi="仿宋" w:eastAsia="仿宋" w:cs="Times New Roman"/>
          <w:color w:val="000000"/>
          <w:sz w:val="24"/>
        </w:rPr>
      </w:pPr>
    </w:p>
    <w:p w14:paraId="10D221E1">
      <w:pPr>
        <w:spacing w:line="360" w:lineRule="exact"/>
        <w:rPr>
          <w:rFonts w:ascii="仿宋" w:hAnsi="仿宋" w:eastAsia="仿宋" w:cs="Times New Roman"/>
          <w:color w:val="000000"/>
          <w:sz w:val="24"/>
        </w:rPr>
      </w:pPr>
      <w:r>
        <w:rPr>
          <w:rFonts w:hint="eastAsia" w:ascii="仿宋" w:hAnsi="仿宋" w:eastAsia="仿宋" w:cs="Times New Roman"/>
          <w:color w:val="000000"/>
          <w:sz w:val="24"/>
        </w:rPr>
        <w:t>乙方：</w:t>
      </w:r>
      <w:r>
        <w:rPr>
          <w:rFonts w:ascii="仿宋" w:hAnsi="仿宋" w:eastAsia="仿宋" w:cs="Times New Roman"/>
          <w:color w:val="000000"/>
          <w:sz w:val="24"/>
        </w:rPr>
        <w:t>[</w:t>
      </w:r>
      <w:r>
        <w:rPr>
          <w:rFonts w:hint="eastAsia" w:ascii="仿宋" w:hAnsi="仿宋" w:eastAsia="仿宋" w:cs="Times New Roman"/>
          <w:sz w:val="24"/>
          <w:lang w:eastAsia="zh-CN"/>
        </w:rPr>
        <w:t xml:space="preserve">    </w:t>
      </w:r>
      <w:r>
        <w:rPr>
          <w:rFonts w:ascii="仿宋" w:hAnsi="仿宋" w:eastAsia="仿宋" w:cs="Times New Roman"/>
          <w:color w:val="000000"/>
          <w:sz w:val="24"/>
        </w:rPr>
        <w:t xml:space="preserve">]         </w:t>
      </w:r>
    </w:p>
    <w:p w14:paraId="206DC007">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法定代表人</w:t>
      </w:r>
      <w:r>
        <w:rPr>
          <w:rFonts w:ascii="仿宋" w:hAnsi="仿宋" w:eastAsia="仿宋" w:cs="Times New Roman"/>
          <w:color w:val="000000"/>
          <w:sz w:val="24"/>
        </w:rPr>
        <w:t>/负责人</w:t>
      </w:r>
    </w:p>
    <w:p w14:paraId="5BFF4889">
      <w:pPr>
        <w:widowControl/>
        <w:autoSpaceDE w:val="0"/>
        <w:autoSpaceDN w:val="0"/>
        <w:spacing w:line="360" w:lineRule="exact"/>
        <w:textAlignment w:val="bottom"/>
        <w:rPr>
          <w:rFonts w:ascii="仿宋" w:hAnsi="仿宋" w:eastAsia="仿宋" w:cs="Times New Roman"/>
          <w:color w:val="000000"/>
          <w:sz w:val="24"/>
        </w:rPr>
      </w:pPr>
      <w:r>
        <w:rPr>
          <w:rFonts w:hint="eastAsia" w:ascii="仿宋" w:hAnsi="仿宋" w:eastAsia="仿宋" w:cs="Times New Roman"/>
          <w:color w:val="000000"/>
          <w:sz w:val="24"/>
        </w:rPr>
        <w:t>或授权代表：</w:t>
      </w:r>
    </w:p>
    <w:p w14:paraId="3281ACDB">
      <w:pPr>
        <w:widowControl/>
        <w:autoSpaceDE w:val="0"/>
        <w:autoSpaceDN w:val="0"/>
        <w:spacing w:line="360" w:lineRule="exact"/>
        <w:textAlignment w:val="bottom"/>
        <w:rPr>
          <w:rFonts w:ascii="仿宋" w:hAnsi="仿宋" w:eastAsia="仿宋" w:cs="Times New Roman"/>
          <w:color w:val="000000"/>
          <w:sz w:val="24"/>
        </w:rPr>
      </w:pPr>
    </w:p>
    <w:p w14:paraId="65E48D55">
      <w:pPr>
        <w:spacing w:line="360" w:lineRule="exact"/>
        <w:rPr>
          <w:rFonts w:ascii="仿宋" w:hAnsi="仿宋" w:eastAsia="仿宋" w:cs="Times New Roman"/>
          <w:color w:val="000000"/>
          <w:sz w:val="24"/>
        </w:rPr>
      </w:pPr>
      <w:r>
        <w:rPr>
          <w:rFonts w:hint="eastAsia" w:ascii="仿宋" w:hAnsi="仿宋" w:eastAsia="仿宋" w:cs="Times New Roman"/>
          <w:color w:val="000000"/>
          <w:kern w:val="0"/>
          <w:sz w:val="24"/>
        </w:rPr>
        <w:t>签署日期：</w:t>
      </w:r>
      <w:r>
        <w:rPr>
          <w:rFonts w:ascii="仿宋" w:hAnsi="仿宋" w:eastAsia="仿宋" w:cs="Times New Roman"/>
          <w:color w:val="000000"/>
          <w:kern w:val="0"/>
          <w:sz w:val="24"/>
        </w:rPr>
        <w:t>[  ]</w:t>
      </w:r>
      <w:r>
        <w:rPr>
          <w:rFonts w:hint="eastAsia" w:ascii="仿宋" w:hAnsi="仿宋" w:eastAsia="仿宋" w:cs="Times New Roman"/>
          <w:color w:val="000000"/>
          <w:sz w:val="24"/>
        </w:rPr>
        <w:t>年</w:t>
      </w:r>
      <w:r>
        <w:rPr>
          <w:rFonts w:ascii="仿宋" w:hAnsi="仿宋" w:eastAsia="仿宋" w:cs="Times New Roman"/>
          <w:color w:val="000000"/>
          <w:kern w:val="0"/>
          <w:sz w:val="24"/>
        </w:rPr>
        <w:t>[  ]</w:t>
      </w:r>
      <w:r>
        <w:rPr>
          <w:rFonts w:hint="eastAsia" w:ascii="仿宋" w:hAnsi="仿宋" w:eastAsia="仿宋" w:cs="Times New Roman"/>
          <w:color w:val="000000"/>
          <w:sz w:val="24"/>
        </w:rPr>
        <w:t>月</w:t>
      </w:r>
      <w:r>
        <w:rPr>
          <w:rFonts w:ascii="仿宋" w:hAnsi="仿宋" w:eastAsia="仿宋" w:cs="Times New Roman"/>
          <w:color w:val="000000"/>
          <w:kern w:val="0"/>
          <w:sz w:val="24"/>
        </w:rPr>
        <w:t>[  ]</w:t>
      </w:r>
      <w:r>
        <w:rPr>
          <w:rFonts w:hint="eastAsia" w:ascii="仿宋" w:hAnsi="仿宋" w:eastAsia="仿宋" w:cs="Times New Roman"/>
          <w:color w:val="000000"/>
          <w:sz w:val="24"/>
        </w:rPr>
        <w:t>日</w:t>
      </w:r>
    </w:p>
    <w:p w14:paraId="79650F6F">
      <w:pPr>
        <w:spacing w:line="360" w:lineRule="exact"/>
        <w:rPr>
          <w:rFonts w:hint="eastAsia" w:ascii="仿宋" w:hAnsi="仿宋" w:eastAsia="仿宋" w:cs="Times New Roman"/>
          <w:b/>
          <w:bCs/>
          <w:color w:val="000000"/>
          <w:sz w:val="24"/>
          <w:lang w:val="en-US" w:eastAsia="zh-CN"/>
        </w:rPr>
      </w:pPr>
      <w:r>
        <w:rPr>
          <w:rFonts w:ascii="仿宋" w:hAnsi="仿宋" w:eastAsia="仿宋" w:cs="Times New Roman"/>
          <w:color w:val="000000"/>
          <w:sz w:val="24"/>
        </w:rPr>
        <w:br w:type="page"/>
      </w:r>
      <w:r>
        <w:rPr>
          <w:rFonts w:hint="eastAsia" w:ascii="仿宋" w:hAnsi="仿宋" w:eastAsia="仿宋" w:cs="Times New Roman"/>
          <w:b/>
          <w:bCs/>
          <w:color w:val="000000"/>
          <w:sz w:val="24"/>
          <w:lang w:val="en-US" w:eastAsia="zh-CN"/>
        </w:rPr>
        <w:t>附件一报价表</w:t>
      </w:r>
    </w:p>
    <w:p w14:paraId="1D26D643">
      <w:pPr>
        <w:spacing w:line="360" w:lineRule="exact"/>
        <w:rPr>
          <w:rFonts w:hint="eastAsia" w:ascii="仿宋" w:hAnsi="仿宋" w:eastAsia="仿宋" w:cs="Times New Roman"/>
          <w:b/>
          <w:bCs/>
          <w:color w:val="000000"/>
          <w:sz w:val="24"/>
          <w:lang w:val="en-US" w:eastAsia="zh-CN"/>
        </w:rPr>
      </w:pPr>
      <w:r>
        <w:rPr>
          <w:rFonts w:ascii="仿宋" w:hAnsi="仿宋" w:eastAsia="仿宋" w:cs="Times New Roman"/>
          <w:color w:val="000000"/>
          <w:sz w:val="24"/>
        </w:rPr>
        <w:br w:type="page"/>
      </w:r>
      <w:r>
        <w:rPr>
          <w:rFonts w:hint="eastAsia" w:ascii="仿宋" w:hAnsi="仿宋" w:eastAsia="仿宋" w:cs="Times New Roman"/>
          <w:b/>
          <w:bCs/>
          <w:color w:val="000000"/>
          <w:sz w:val="24"/>
          <w:lang w:val="en-US" w:eastAsia="zh-CN"/>
        </w:rPr>
        <w:t>附件二  技术规范书</w:t>
      </w:r>
    </w:p>
    <w:p w14:paraId="39614ACC">
      <w:pPr>
        <w:spacing w:line="360" w:lineRule="exact"/>
        <w:rPr>
          <w:rFonts w:hint="eastAsia" w:ascii="仿宋" w:hAnsi="仿宋" w:eastAsia="仿宋" w:cs="Times New Roman"/>
          <w:sz w:val="24"/>
          <w:lang w:eastAsia="zh-CN"/>
        </w:rPr>
      </w:pPr>
      <w:r>
        <w:rPr>
          <w:rFonts w:ascii="仿宋" w:hAnsi="仿宋" w:eastAsia="仿宋" w:cs="Times New Roman"/>
          <w:color w:val="000000"/>
          <w:sz w:val="24"/>
        </w:rPr>
        <w:br w:type="page"/>
      </w:r>
      <w:r>
        <w:rPr>
          <w:rFonts w:hint="eastAsia" w:ascii="仿宋" w:hAnsi="仿宋" w:eastAsia="仿宋" w:cs="Times New Roman"/>
          <w:sz w:val="24"/>
        </w:rPr>
        <w:t>附件</w:t>
      </w:r>
      <w:r>
        <w:rPr>
          <w:rFonts w:hint="eastAsia" w:ascii="仿宋" w:hAnsi="仿宋" w:eastAsia="仿宋" w:cs="Times New Roman"/>
          <w:sz w:val="24"/>
          <w:lang w:val="en-US" w:eastAsia="zh-CN"/>
        </w:rPr>
        <w:t>三</w:t>
      </w:r>
    </w:p>
    <w:p w14:paraId="3FB4E397">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安全生产管理责任书</w:t>
      </w:r>
    </w:p>
    <w:p w14:paraId="213A8A2D">
      <w:pPr>
        <w:spacing w:line="360" w:lineRule="exact"/>
        <w:jc w:val="center"/>
        <w:rPr>
          <w:rFonts w:ascii="仿宋" w:hAnsi="仿宋" w:eastAsia="仿宋" w:cs="Times New Roman"/>
          <w:b/>
          <w:sz w:val="28"/>
          <w:szCs w:val="28"/>
        </w:rPr>
      </w:pPr>
    </w:p>
    <w:p w14:paraId="3DF56BAC">
      <w:pPr>
        <w:spacing w:line="360" w:lineRule="exact"/>
        <w:rPr>
          <w:rFonts w:ascii="仿宋" w:hAnsi="仿宋" w:eastAsia="仿宋" w:cs="Times New Roman"/>
          <w:sz w:val="24"/>
        </w:rPr>
      </w:pPr>
      <w:r>
        <w:rPr>
          <w:rFonts w:hint="eastAsia" w:ascii="仿宋" w:hAnsi="仿宋" w:eastAsia="仿宋" w:cs="Times New Roman"/>
          <w:sz w:val="24"/>
        </w:rPr>
        <w:t>中国电信[</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]公司：</w:t>
      </w:r>
    </w:p>
    <w:p w14:paraId="1A7B8CB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为保障安全生产，确保安全管理工作的落实，在贵公司与本单位双方签订的《[</w:t>
      </w:r>
      <w:r>
        <w:rPr>
          <w:rFonts w:hint="eastAsia" w:ascii="仿宋" w:hAnsi="仿宋" w:eastAsia="仿宋" w:cs="Times New Roman"/>
          <w:sz w:val="24"/>
          <w:lang w:eastAsia="zh-CN"/>
        </w:rPr>
        <w:t>2025年中国电信遵义分公司湄潭县中西医结合医院床旁结算系统开发服务采购</w:t>
      </w:r>
      <w:r>
        <w:rPr>
          <w:rFonts w:hint="eastAsia" w:ascii="仿宋" w:hAnsi="仿宋" w:eastAsia="仿宋" w:cs="Times New Roman"/>
          <w:sz w:val="24"/>
        </w:rPr>
        <w:t>]软件开发合同》（以下简称“合同”）履行过程中，本单位承诺如下：</w:t>
      </w:r>
    </w:p>
    <w:p w14:paraId="4910151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在合同签订和履行过程中持续具备《中华人民共和国建筑法》、《中华人民共和国消防法》、《中华人民共和国安全生产法》和有关法律、行政法规和国家标准或者行业标准（“相关规定”）规定的安全生产条件和资质。</w:t>
      </w:r>
    </w:p>
    <w:p w14:paraId="217B698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二、本单位参与合同履行的相关作业人员（“作业人员”）在履行合同过程中始终具备相关规定要求的从业资格和资质，从事特种作业的作业人员始终具备相关规定要求的从业资格和资质。。</w:t>
      </w:r>
    </w:p>
    <w:p w14:paraId="0F3109B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贵公司有权对本单位作业现场安全进行监督，贵公司代表有权对作业现场的安全管理进行指导和监督，本单位及作业人员必须服从贵公司代表的管理和监督检查，督促作业相关单位积极配合，并确保作业现场安全，并承担合同签订和履行过程中安全生产的全部责任。</w:t>
      </w:r>
    </w:p>
    <w:p w14:paraId="53133DF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认真贯彻相关规定的各项要求，对作业现场的安全管理必须坚持安全第一、预防、综合治理为主的方针，做到安全作业、文明作业，定期组织作业人员召开安全生产会议和安全生产教育培训并建立档案，如实记录会议和教育培训的时间、内容、参加人员以及考核结果等情况，确保各类设备、设施安全和人员安全。</w:t>
      </w:r>
    </w:p>
    <w:p w14:paraId="54846FD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五、在通信机房内作业，本单位应当特别重视并遵守下列要求:</w:t>
      </w:r>
    </w:p>
    <w:p w14:paraId="3F90ABB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（1）制定确保运行设备安全措施。</w:t>
      </w:r>
    </w:p>
    <w:p w14:paraId="3EAB21A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（2）设备开箱后，包装箱等易燃杂物应当立即搬离现场。</w:t>
      </w:r>
    </w:p>
    <w:p w14:paraId="3F0A4F3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（3）作业时，不得将导线头子遗留在设备内。每天作业结束时，应当清理作业现场。</w:t>
      </w:r>
    </w:p>
    <w:p w14:paraId="5E3B85D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（4）作业期间确需进入通信系统，应当办理贵公司要求的手续。</w:t>
      </w:r>
    </w:p>
    <w:p w14:paraId="23B0C5A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（5）作业期间布放线缆，需拆除竖井、巷道防火封堵物的，布放线缆完毕后，应当立即重新封堵。</w:t>
      </w:r>
    </w:p>
    <w:p w14:paraId="0DFC52A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（6）设备安装完毕，应当经电力维护人员检查、测试无误后，方可接通电源。</w:t>
      </w:r>
    </w:p>
    <w:p w14:paraId="385F68B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六、作业现场应当符合下列要求：</w:t>
      </w:r>
    </w:p>
    <w:p w14:paraId="5798823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（1）安全、整洁、美观，采取措施有效保护贵公司设施、设备。</w:t>
      </w:r>
    </w:p>
    <w:p w14:paraId="6E4F996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（2）材料堆放整齐有序，不得影响贵公司正常生产秩序和通信畅通。</w:t>
      </w:r>
    </w:p>
    <w:p w14:paraId="46D475E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（3）垃圾及时处理，不得就近乱堆乱倒。</w:t>
      </w:r>
    </w:p>
    <w:p w14:paraId="537854E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（4）符合卫生标准。</w:t>
      </w:r>
    </w:p>
    <w:p w14:paraId="051B44E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（5）作业人员应当佩戴贵公司颁发的证明其身份的胸卡。</w:t>
      </w:r>
    </w:p>
    <w:p w14:paraId="43213E4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（6）阻止无关人员进入作业现场。</w:t>
      </w:r>
    </w:p>
    <w:p w14:paraId="445F085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七、本单位应当遵守下列作业现场安全管理要求：</w:t>
      </w:r>
    </w:p>
    <w:p w14:paraId="2E92092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（1）不得在作业现场溶融沥青或者焚烧油毡、油漆等易产生有毒、有害烟尘和气体的物质。</w:t>
      </w:r>
    </w:p>
    <w:p w14:paraId="5FD59D7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（2）不得从高处向下抛撒垃圾。</w:t>
      </w:r>
    </w:p>
    <w:p w14:paraId="02342D6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（3）不得将有毒有害废弃物作土方回填。</w:t>
      </w:r>
    </w:p>
    <w:p w14:paraId="0A4D4F2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（4）禁止在作业现场吸烟或使用明火，确因作业需要进行明火作业，应当经贵公司安全保卫部门书面批准。</w:t>
      </w:r>
    </w:p>
    <w:p w14:paraId="74E5C06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八、本单位接受贵公司有关各项安全生产、防火等规章制度的检查、督促。</w:t>
      </w:r>
    </w:p>
    <w:p w14:paraId="0542117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加强对作业人员的管理，提高服务能力，提升作业人员的作业水平和服务质量，并确保安全管理和安全工作的落实。本单位保证对作业人员进行安全生产教育和培训，保证作业人员具备必要的安全生产知识，熟悉有关的安全生产规章制度和安全操作规程，掌握本岗位的安全操作技能，了解事故应急处理措施。未经安全生产教育和培训合格的作业人员不得上岗作业。</w:t>
      </w:r>
    </w:p>
    <w:p w14:paraId="74F5953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作业人员仅在贵公司允许的作业区域、场所和设备上作业，不得超范围作业。本单位工作人员未经许可，不得擅自进入与合同约定的服务工作无关的贵公司部门（包括但不限于通信要害部门）。如需进入贵公司生产机房进行作业的，本单位应当到贵公司相关部门办理出入通信要害部位介绍信，方可进入作业。</w:t>
      </w:r>
    </w:p>
    <w:p w14:paraId="482C58F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十一、本单位根据作业特点，制定安全生产作业方案和专项技术措施，配备专职或兼职人员负责有关安全生产、防火等工作，并积极与贵公司相关安全部门紧密联系。</w:t>
      </w:r>
    </w:p>
    <w:p w14:paraId="386204D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十二、本单位为作业人员提供符合相关规定的劳动防护用品和作业工具，监督、教育作业人员按照使用规则佩戴、使用，并督促其遵守各项安全生产规章制度，不得违章作业、冒险作业或疲劳作业。</w:t>
      </w:r>
    </w:p>
    <w:p w14:paraId="4CAECB1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十三、当发生安全事故时，本单位立即采取有效措施，防止事故的扩大，减少人员伤亡和财产损失，并及时向贵公司和有关部门报告，配合贵公司和有关部门的事故调查处理工作。</w:t>
      </w:r>
    </w:p>
    <w:p w14:paraId="0E3F404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十四、本单位作业人员进行登高作业时，应当遵守高处作业中的相关规定，并先检查登高工具和保险装备，确保登高现场环境安全，避免发生摔伤事故。</w:t>
      </w:r>
    </w:p>
    <w:p w14:paraId="03A4F3C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切实落实“六防”（即防爆炸、防盗抢、防火、防破坏、防诈骗、防窃密），不发生违反作业现场管理规定的行为，不发生违法犯罪案件。本单位就作业人员的行为向贵公司承担全部责任。如发生作业人员或他人的人身、财产事故，均由本单位负责解决并承担全部责任。</w:t>
      </w:r>
    </w:p>
    <w:p w14:paraId="547AF24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十六、本单位严格遵守国家安全生产方面的有关法律、法规，以实际行动创造安全、文明的工作环境，如本单位违反本责任书所述的任何情形，本单位承担相应责任并赔偿贵公司因此受到的损失。</w:t>
      </w:r>
    </w:p>
    <w:p w14:paraId="6360BF6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十七、本单位承诺依照有关法律规定参加工伤保险，为履行合同所雇用的全部人员，缴纳工伤保险费。</w:t>
      </w:r>
    </w:p>
    <w:p w14:paraId="13D9D9A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十八、本单位在作业过程中若发生安全生产责任事故的，同意贵公司依据供应商不良行为相关管理制度对本单位进行处理。</w:t>
      </w:r>
    </w:p>
    <w:p w14:paraId="553C639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十九、根据《生产安全事故应急预案管理办法》要求，本单位承诺制定和完善应急预案演练计划，至少每半年组织一次生产安全事故应急预案演练。</w:t>
      </w:r>
    </w:p>
    <w:p w14:paraId="38D731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采取有效管理措施合理减少从事危险作业岗位的劳务派遣、劳务分包等灵活用工方式人员，并对灵活用工人员纳入本单位统一管理，履行安全生产保证责任，做好灵活用工人员特种作业持证、安全培训、保险购买等工作。</w:t>
      </w:r>
    </w:p>
    <w:p w14:paraId="1D8C636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指定如下专职安全生产管理人员负责安全检查与协调等工作，并承诺安全生产管理人员具备生产经营活动相应的安全生产知识和管理能力。当专职安全生产管理人员变更时，本单位提前三日书面通知贵公司。</w:t>
      </w:r>
    </w:p>
    <w:p w14:paraId="396CDBF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（1）姓名：[</w:t>
      </w:r>
      <w:r>
        <w:rPr>
          <w:rFonts w:hint="eastAsia" w:ascii="仿宋" w:hAnsi="仿宋" w:eastAsia="仿宋" w:cs="Times New Roman"/>
          <w:sz w:val="24"/>
          <w:lang w:eastAsia="zh-CN"/>
        </w:rPr>
        <w:t xml:space="preserve">     </w:t>
      </w:r>
      <w:r>
        <w:rPr>
          <w:rFonts w:hint="eastAsia" w:ascii="仿宋" w:hAnsi="仿宋" w:eastAsia="仿宋" w:cs="Times New Roman"/>
          <w:sz w:val="24"/>
        </w:rPr>
        <w:t>]</w:t>
      </w:r>
    </w:p>
    <w:p w14:paraId="38C26BA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（2）联系方式：[</w:t>
      </w:r>
      <w:r>
        <w:rPr>
          <w:rFonts w:hint="eastAsia" w:ascii="仿宋" w:hAnsi="仿宋" w:eastAsia="仿宋" w:cs="Times New Roman"/>
          <w:sz w:val="24"/>
          <w:lang w:eastAsia="zh-CN"/>
        </w:rPr>
        <w:t xml:space="preserve">     </w:t>
      </w:r>
      <w:r>
        <w:rPr>
          <w:rFonts w:hint="eastAsia" w:ascii="仿宋" w:hAnsi="仿宋" w:eastAsia="仿宋" w:cs="Times New Roman"/>
          <w:sz w:val="24"/>
        </w:rPr>
        <w:t>]</w:t>
      </w:r>
    </w:p>
    <w:p w14:paraId="5AFBA11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二十二、本责任书经本单位签署后，与合同同时生效。</w:t>
      </w:r>
    </w:p>
    <w:p w14:paraId="3F7558F4">
      <w:pPr>
        <w:spacing w:line="360" w:lineRule="exact"/>
        <w:rPr>
          <w:rFonts w:ascii="仿宋" w:hAnsi="仿宋" w:eastAsia="仿宋" w:cs="Times New Roman"/>
          <w:sz w:val="24"/>
        </w:rPr>
      </w:pPr>
    </w:p>
    <w:p w14:paraId="50172D03">
      <w:pPr>
        <w:spacing w:line="360" w:lineRule="exact"/>
        <w:rPr>
          <w:rFonts w:ascii="仿宋" w:hAnsi="仿宋" w:eastAsia="仿宋" w:cs="Times New Roman"/>
          <w:sz w:val="24"/>
        </w:rPr>
      </w:pPr>
    </w:p>
    <w:p w14:paraId="312C0C7F">
      <w:pPr>
        <w:spacing w:line="360" w:lineRule="exact"/>
        <w:rPr>
          <w:rFonts w:ascii="仿宋" w:hAnsi="仿宋" w:eastAsia="仿宋" w:cs="Times New Roman"/>
          <w:sz w:val="24"/>
        </w:rPr>
      </w:pPr>
      <w:r>
        <w:rPr>
          <w:rFonts w:hint="eastAsia" w:ascii="仿宋" w:hAnsi="仿宋" w:eastAsia="仿宋" w:cs="Times New Roman"/>
          <w:sz w:val="24"/>
        </w:rPr>
        <w:t>责任人（盖章）：[</w:t>
      </w:r>
      <w:r>
        <w:rPr>
          <w:rFonts w:hint="eastAsia" w:ascii="仿宋" w:hAnsi="仿宋" w:eastAsia="仿宋" w:cs="仿宋"/>
          <w:kern w:val="0"/>
          <w:sz w:val="24"/>
          <w:lang w:eastAsia="zh-CN"/>
        </w:rPr>
        <w:t xml:space="preserve">     </w:t>
      </w:r>
      <w:r>
        <w:rPr>
          <w:rFonts w:hint="eastAsia" w:ascii="仿宋" w:hAnsi="仿宋" w:eastAsia="仿宋" w:cs="Times New Roman"/>
          <w:sz w:val="24"/>
        </w:rPr>
        <w:t xml:space="preserve"> ]</w:t>
      </w:r>
    </w:p>
    <w:p w14:paraId="2942D68A">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02D92C7A">
      <w:pPr>
        <w:spacing w:line="360" w:lineRule="exact"/>
        <w:rPr>
          <w:rFonts w:ascii="仿宋" w:hAnsi="仿宋" w:eastAsia="仿宋" w:cs="Times New Roman"/>
          <w:sz w:val="24"/>
        </w:rPr>
      </w:pPr>
      <w:r>
        <w:rPr>
          <w:rFonts w:hint="eastAsia" w:ascii="仿宋" w:hAnsi="仿宋" w:eastAsia="仿宋" w:cs="Times New Roman"/>
          <w:sz w:val="24"/>
        </w:rPr>
        <w:t>或授权代表（签字）：</w:t>
      </w:r>
    </w:p>
    <w:p w14:paraId="3C4A5FF0">
      <w:pPr>
        <w:spacing w:line="360" w:lineRule="exact"/>
        <w:jc w:val="left"/>
        <w:rPr>
          <w:rFonts w:hint="eastAsia" w:ascii="仿宋" w:hAnsi="仿宋" w:eastAsia="仿宋" w:cs="仿宋"/>
          <w:b/>
          <w:bCs w:val="0"/>
          <w:i w:val="0"/>
          <w:iCs w:val="0"/>
          <w:sz w:val="24"/>
          <w:szCs w:val="22"/>
          <w:highlight w:val="none"/>
        </w:rPr>
      </w:pPr>
      <w:r>
        <w:rPr>
          <w:rFonts w:ascii="仿宋" w:hAnsi="仿宋" w:eastAsia="仿宋" w:cs="Times New Roman"/>
          <w:color w:val="000000"/>
        </w:rPr>
        <w:br w:type="page"/>
      </w:r>
      <w:r>
        <w:rPr>
          <w:rFonts w:hint="eastAsia" w:ascii="仿宋" w:hAnsi="仿宋" w:eastAsia="仿宋" w:cs="Times New Roman"/>
          <w:b/>
          <w:bCs w:val="0"/>
          <w:sz w:val="24"/>
        </w:rPr>
        <w:t>附件</w:t>
      </w:r>
      <w:r>
        <w:rPr>
          <w:rFonts w:hint="eastAsia" w:ascii="仿宋" w:hAnsi="仿宋" w:eastAsia="仿宋" w:cs="Times New Roman"/>
          <w:b/>
          <w:bCs w:val="0"/>
          <w:sz w:val="24"/>
          <w:lang w:val="en-US" w:eastAsia="zh-CN"/>
        </w:rPr>
        <w:t>四</w:t>
      </w:r>
      <w:r>
        <w:rPr>
          <w:rFonts w:hint="eastAsia" w:ascii="仿宋" w:hAnsi="仿宋" w:eastAsia="仿宋" w:cs="Times New Roman"/>
          <w:b/>
          <w:bCs w:val="0"/>
          <w:color w:val="000000"/>
          <w:sz w:val="24"/>
          <w:lang w:val="en-US" w:eastAsia="zh-CN"/>
        </w:rPr>
        <w:t xml:space="preserve">： </w:t>
      </w:r>
      <w:r>
        <w:rPr>
          <w:rFonts w:hint="eastAsia" w:ascii="仿宋" w:hAnsi="仿宋" w:eastAsia="仿宋" w:cs="仿宋"/>
          <w:b/>
          <w:bCs w:val="0"/>
          <w:i w:val="0"/>
          <w:iCs w:val="0"/>
          <w:sz w:val="24"/>
          <w:szCs w:val="22"/>
          <w:highlight w:val="none"/>
        </w:rPr>
        <w:t>外部组件软件成分信息清单</w:t>
      </w:r>
    </w:p>
    <w:p w14:paraId="1A4CED1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填写说明：</w:t>
      </w:r>
    </w:p>
    <w:p w14:paraId="5BBE551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1、应用开发软件：交付上线、初验、终验阶段必须按照格式提供最新完整的软件成分信息。</w:t>
      </w:r>
    </w:p>
    <w:p w14:paraId="5F961DD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2、成熟商业软件：投标文件/参选文件/应答文件、合同附件中均必须按照格式提供完整的软件成分信息</w:t>
      </w:r>
    </w:p>
    <w:p w14:paraId="74A8088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3、如不提供，供应商须提供承诺软件代码均为100%自主编写代码。</w:t>
      </w:r>
    </w:p>
    <w:p w14:paraId="25BCE8EE">
      <w:pPr>
        <w:spacing w:line="360" w:lineRule="auto"/>
        <w:jc w:val="left"/>
        <w:rPr>
          <w:rFonts w:hint="eastAsia" w:ascii="仿宋" w:hAnsi="仿宋" w:eastAsia="仿宋" w:cs="仿宋"/>
          <w:i w:val="0"/>
          <w:iCs w:val="0"/>
          <w:sz w:val="24"/>
          <w:szCs w:val="22"/>
          <w:highlight w:val="none"/>
        </w:rPr>
      </w:pPr>
    </w:p>
    <w:p w14:paraId="52961E33">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一、软件基本信息</w:t>
      </w:r>
    </w:p>
    <w:tbl>
      <w:tblPr>
        <w:tblStyle w:val="39"/>
        <w:tblW w:w="5000" w:type="pct"/>
        <w:tblInd w:w="0" w:type="dxa"/>
        <w:tblLayout w:type="autofit"/>
        <w:tblCellMar>
          <w:top w:w="0" w:type="dxa"/>
          <w:left w:w="108" w:type="dxa"/>
          <w:bottom w:w="0" w:type="dxa"/>
          <w:right w:w="108" w:type="dxa"/>
        </w:tblCellMar>
      </w:tblPr>
      <w:tblGrid>
        <w:gridCol w:w="1575"/>
        <w:gridCol w:w="2061"/>
        <w:gridCol w:w="2696"/>
        <w:gridCol w:w="2190"/>
      </w:tblGrid>
      <w:tr w14:paraId="683F1C8E">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noWrap w:val="0"/>
            <w:vAlign w:val="center"/>
          </w:tcPr>
          <w:p w14:paraId="0A823E5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类型</w:t>
            </w:r>
          </w:p>
        </w:tc>
        <w:tc>
          <w:tcPr>
            <w:tcW w:w="1209" w:type="pct"/>
            <w:tcBorders>
              <w:top w:val="single" w:color="auto" w:sz="4" w:space="0"/>
              <w:left w:val="nil"/>
              <w:bottom w:val="single" w:color="auto" w:sz="4" w:space="0"/>
              <w:right w:val="single" w:color="auto" w:sz="4" w:space="0"/>
            </w:tcBorders>
            <w:shd w:val="clear" w:color="000000" w:fill="auto"/>
            <w:noWrap w:val="0"/>
            <w:vAlign w:val="center"/>
          </w:tcPr>
          <w:p w14:paraId="2DACF4A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组成项</w:t>
            </w:r>
          </w:p>
        </w:tc>
        <w:tc>
          <w:tcPr>
            <w:tcW w:w="1582" w:type="pct"/>
            <w:tcBorders>
              <w:top w:val="single" w:color="auto" w:sz="4" w:space="0"/>
              <w:left w:val="nil"/>
              <w:bottom w:val="single" w:color="auto" w:sz="4" w:space="0"/>
              <w:right w:val="single" w:color="auto" w:sz="4" w:space="0"/>
            </w:tcBorders>
            <w:shd w:val="clear" w:color="000000" w:fill="auto"/>
            <w:noWrap w:val="0"/>
            <w:vAlign w:val="center"/>
          </w:tcPr>
          <w:p w14:paraId="7F05405A">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描述</w:t>
            </w:r>
          </w:p>
        </w:tc>
        <w:tc>
          <w:tcPr>
            <w:tcW w:w="1285" w:type="pct"/>
            <w:tcBorders>
              <w:top w:val="single" w:color="auto" w:sz="4" w:space="0"/>
              <w:left w:val="nil"/>
              <w:bottom w:val="single" w:color="auto" w:sz="4" w:space="0"/>
              <w:right w:val="single" w:color="auto" w:sz="4" w:space="0"/>
            </w:tcBorders>
            <w:shd w:val="clear" w:color="000000" w:fill="auto"/>
            <w:noWrap w:val="0"/>
            <w:vAlign w:val="center"/>
          </w:tcPr>
          <w:p w14:paraId="4E22FC7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内容（填写此列）</w:t>
            </w:r>
          </w:p>
        </w:tc>
      </w:tr>
      <w:tr w14:paraId="1088B8EE">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noWrap w:val="0"/>
            <w:vAlign w:val="center"/>
          </w:tcPr>
          <w:p w14:paraId="2C08CE6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软件基本信息</w:t>
            </w:r>
          </w:p>
        </w:tc>
        <w:tc>
          <w:tcPr>
            <w:tcW w:w="1209" w:type="pct"/>
            <w:tcBorders>
              <w:top w:val="nil"/>
              <w:left w:val="nil"/>
              <w:bottom w:val="single" w:color="auto" w:sz="4" w:space="0"/>
              <w:right w:val="single" w:color="auto" w:sz="4" w:space="0"/>
            </w:tcBorders>
            <w:noWrap w:val="0"/>
            <w:vAlign w:val="center"/>
          </w:tcPr>
          <w:p w14:paraId="369C309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软件名称</w:t>
            </w:r>
          </w:p>
        </w:tc>
        <w:tc>
          <w:tcPr>
            <w:tcW w:w="1582" w:type="pct"/>
            <w:tcBorders>
              <w:top w:val="nil"/>
              <w:left w:val="nil"/>
              <w:bottom w:val="single" w:color="auto" w:sz="4" w:space="0"/>
              <w:right w:val="single" w:color="auto" w:sz="4" w:space="0"/>
            </w:tcBorders>
            <w:noWrap w:val="0"/>
            <w:vAlign w:val="center"/>
          </w:tcPr>
          <w:p w14:paraId="28849E1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标识软件的实体名称</w:t>
            </w:r>
          </w:p>
        </w:tc>
        <w:tc>
          <w:tcPr>
            <w:tcW w:w="1285" w:type="pct"/>
            <w:tcBorders>
              <w:top w:val="nil"/>
              <w:left w:val="nil"/>
              <w:bottom w:val="single" w:color="auto" w:sz="4" w:space="0"/>
              <w:right w:val="single" w:color="auto" w:sz="4" w:space="0"/>
            </w:tcBorders>
            <w:noWrap/>
            <w:vAlign w:val="bottom"/>
          </w:tcPr>
          <w:p w14:paraId="11DB72E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72D1A6A9">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1F100F4F">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11AF2F3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软件责任主体名称</w:t>
            </w:r>
          </w:p>
        </w:tc>
        <w:tc>
          <w:tcPr>
            <w:tcW w:w="1582" w:type="pct"/>
            <w:tcBorders>
              <w:top w:val="nil"/>
              <w:left w:val="nil"/>
              <w:bottom w:val="single" w:color="auto" w:sz="4" w:space="0"/>
              <w:right w:val="single" w:color="auto" w:sz="4" w:space="0"/>
            </w:tcBorders>
            <w:noWrap w:val="0"/>
            <w:vAlign w:val="center"/>
          </w:tcPr>
          <w:p w14:paraId="1C695C5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软件责任人或团体名称</w:t>
            </w:r>
          </w:p>
        </w:tc>
        <w:tc>
          <w:tcPr>
            <w:tcW w:w="1285" w:type="pct"/>
            <w:tcBorders>
              <w:top w:val="nil"/>
              <w:left w:val="nil"/>
              <w:bottom w:val="single" w:color="auto" w:sz="4" w:space="0"/>
              <w:right w:val="single" w:color="auto" w:sz="4" w:space="0"/>
            </w:tcBorders>
            <w:noWrap/>
            <w:vAlign w:val="bottom"/>
          </w:tcPr>
          <w:p w14:paraId="49ABC2C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375F7CE4">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10413C0">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6D03750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软件供应商</w:t>
            </w:r>
          </w:p>
        </w:tc>
        <w:tc>
          <w:tcPr>
            <w:tcW w:w="1582" w:type="pct"/>
            <w:tcBorders>
              <w:top w:val="nil"/>
              <w:left w:val="nil"/>
              <w:bottom w:val="single" w:color="auto" w:sz="4" w:space="0"/>
              <w:right w:val="single" w:color="auto" w:sz="4" w:space="0"/>
            </w:tcBorders>
            <w:noWrap w:val="0"/>
            <w:vAlign w:val="center"/>
          </w:tcPr>
          <w:p w14:paraId="189C079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原始供应商</w:t>
            </w:r>
          </w:p>
        </w:tc>
        <w:tc>
          <w:tcPr>
            <w:tcW w:w="1285" w:type="pct"/>
            <w:tcBorders>
              <w:top w:val="nil"/>
              <w:left w:val="nil"/>
              <w:bottom w:val="single" w:color="auto" w:sz="4" w:space="0"/>
              <w:right w:val="single" w:color="auto" w:sz="4" w:space="0"/>
            </w:tcBorders>
            <w:noWrap/>
            <w:vAlign w:val="bottom"/>
          </w:tcPr>
          <w:p w14:paraId="2CA0702F">
            <w:pPr>
              <w:spacing w:line="360" w:lineRule="auto"/>
              <w:jc w:val="left"/>
              <w:rPr>
                <w:rFonts w:hint="eastAsia" w:ascii="仿宋" w:hAnsi="仿宋" w:eastAsia="仿宋" w:cs="仿宋"/>
                <w:i w:val="0"/>
                <w:iCs w:val="0"/>
                <w:sz w:val="24"/>
                <w:szCs w:val="22"/>
                <w:highlight w:val="none"/>
              </w:rPr>
            </w:pPr>
          </w:p>
        </w:tc>
      </w:tr>
      <w:tr w14:paraId="4EECF529">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3BB1DA7">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1B6EB12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软件版本</w:t>
            </w:r>
          </w:p>
        </w:tc>
        <w:tc>
          <w:tcPr>
            <w:tcW w:w="1582" w:type="pct"/>
            <w:tcBorders>
              <w:top w:val="nil"/>
              <w:left w:val="nil"/>
              <w:bottom w:val="single" w:color="auto" w:sz="4" w:space="0"/>
              <w:right w:val="single" w:color="auto" w:sz="4" w:space="0"/>
            </w:tcBorders>
            <w:noWrap w:val="0"/>
            <w:vAlign w:val="center"/>
          </w:tcPr>
          <w:p w14:paraId="0EE034B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供应商用于标识软件修改的版本标识符</w:t>
            </w:r>
          </w:p>
        </w:tc>
        <w:tc>
          <w:tcPr>
            <w:tcW w:w="1285" w:type="pct"/>
            <w:tcBorders>
              <w:top w:val="nil"/>
              <w:left w:val="nil"/>
              <w:bottom w:val="single" w:color="auto" w:sz="4" w:space="0"/>
              <w:right w:val="single" w:color="auto" w:sz="4" w:space="0"/>
            </w:tcBorders>
            <w:noWrap/>
            <w:vAlign w:val="bottom"/>
          </w:tcPr>
          <w:p w14:paraId="6CAC094D">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435F183B">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235C9F1B">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6958551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软件成分明细</w:t>
            </w:r>
          </w:p>
        </w:tc>
        <w:tc>
          <w:tcPr>
            <w:tcW w:w="1582" w:type="pct"/>
            <w:tcBorders>
              <w:top w:val="nil"/>
              <w:left w:val="nil"/>
              <w:bottom w:val="single" w:color="auto" w:sz="4" w:space="0"/>
              <w:right w:val="single" w:color="auto" w:sz="4" w:space="0"/>
            </w:tcBorders>
            <w:noWrap w:val="0"/>
            <w:vAlign w:val="center"/>
          </w:tcPr>
          <w:p w14:paraId="09E8B4FA">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包含开发工具、第三方软件、开源软件，详细在《软件成分明细》中列出</w:t>
            </w:r>
          </w:p>
        </w:tc>
        <w:tc>
          <w:tcPr>
            <w:tcW w:w="1285" w:type="pct"/>
            <w:tcBorders>
              <w:top w:val="nil"/>
              <w:left w:val="nil"/>
              <w:bottom w:val="single" w:color="auto" w:sz="4" w:space="0"/>
              <w:right w:val="single" w:color="auto" w:sz="4" w:space="0"/>
            </w:tcBorders>
            <w:noWrap/>
            <w:vAlign w:val="bottom"/>
          </w:tcPr>
          <w:p w14:paraId="61BD3ED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5C030E10">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4759CB56">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29A9415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时间戳</w:t>
            </w:r>
          </w:p>
        </w:tc>
        <w:tc>
          <w:tcPr>
            <w:tcW w:w="1582" w:type="pct"/>
            <w:tcBorders>
              <w:top w:val="nil"/>
              <w:left w:val="nil"/>
              <w:bottom w:val="single" w:color="auto" w:sz="4" w:space="0"/>
              <w:right w:val="single" w:color="auto" w:sz="4" w:space="0"/>
            </w:tcBorders>
            <w:noWrap w:val="0"/>
            <w:vAlign w:val="center"/>
          </w:tcPr>
          <w:p w14:paraId="05A02C0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记录软件基本信息生成的日期和时间</w:t>
            </w:r>
          </w:p>
        </w:tc>
        <w:tc>
          <w:tcPr>
            <w:tcW w:w="1285" w:type="pct"/>
            <w:tcBorders>
              <w:top w:val="nil"/>
              <w:left w:val="nil"/>
              <w:bottom w:val="single" w:color="auto" w:sz="4" w:space="0"/>
              <w:right w:val="single" w:color="auto" w:sz="4" w:space="0"/>
            </w:tcBorders>
            <w:noWrap/>
            <w:vAlign w:val="bottom"/>
          </w:tcPr>
          <w:p w14:paraId="64764DA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460C7F41">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noWrap w:val="0"/>
            <w:vAlign w:val="center"/>
          </w:tcPr>
          <w:p w14:paraId="6DCA6772">
            <w:pPr>
              <w:spacing w:line="360" w:lineRule="auto"/>
              <w:jc w:val="left"/>
              <w:rPr>
                <w:rFonts w:hint="eastAsia" w:ascii="仿宋" w:hAnsi="仿宋" w:eastAsia="仿宋" w:cs="仿宋"/>
                <w:i w:val="0"/>
                <w:iCs w:val="0"/>
                <w:sz w:val="24"/>
                <w:szCs w:val="22"/>
                <w:highlight w:val="none"/>
              </w:rPr>
            </w:pPr>
          </w:p>
        </w:tc>
        <w:tc>
          <w:tcPr>
            <w:tcW w:w="1209" w:type="pct"/>
            <w:tcBorders>
              <w:top w:val="nil"/>
              <w:left w:val="nil"/>
              <w:bottom w:val="single" w:color="auto" w:sz="4" w:space="0"/>
              <w:right w:val="single" w:color="auto" w:sz="4" w:space="0"/>
            </w:tcBorders>
            <w:noWrap w:val="0"/>
            <w:vAlign w:val="center"/>
          </w:tcPr>
          <w:p w14:paraId="2F289DF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软件信息签名（如校验哈希值）</w:t>
            </w:r>
          </w:p>
        </w:tc>
        <w:tc>
          <w:tcPr>
            <w:tcW w:w="1582" w:type="pct"/>
            <w:tcBorders>
              <w:top w:val="nil"/>
              <w:left w:val="nil"/>
              <w:bottom w:val="single" w:color="auto" w:sz="4" w:space="0"/>
              <w:right w:val="single" w:color="auto" w:sz="4" w:space="0"/>
            </w:tcBorders>
            <w:noWrap w:val="0"/>
            <w:vAlign w:val="center"/>
          </w:tcPr>
          <w:p w14:paraId="31F283C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保证软件信息真实性、完整性</w:t>
            </w:r>
          </w:p>
        </w:tc>
        <w:tc>
          <w:tcPr>
            <w:tcW w:w="1285" w:type="pct"/>
            <w:tcBorders>
              <w:top w:val="nil"/>
              <w:left w:val="nil"/>
              <w:bottom w:val="single" w:color="auto" w:sz="4" w:space="0"/>
              <w:right w:val="single" w:color="auto" w:sz="4" w:space="0"/>
            </w:tcBorders>
            <w:noWrap/>
            <w:vAlign w:val="bottom"/>
          </w:tcPr>
          <w:p w14:paraId="5A03A2F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5803703D">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noWrap w:val="0"/>
            <w:vAlign w:val="center"/>
          </w:tcPr>
          <w:p w14:paraId="0B8A61A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软件扩展信息</w:t>
            </w:r>
          </w:p>
        </w:tc>
        <w:tc>
          <w:tcPr>
            <w:tcW w:w="1209" w:type="pct"/>
            <w:tcBorders>
              <w:top w:val="nil"/>
              <w:left w:val="nil"/>
              <w:bottom w:val="single" w:color="auto" w:sz="4" w:space="0"/>
              <w:right w:val="single" w:color="auto" w:sz="4" w:space="0"/>
            </w:tcBorders>
            <w:noWrap w:val="0"/>
            <w:vAlign w:val="center"/>
          </w:tcPr>
          <w:p w14:paraId="1F4C8DD8">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软件知识产权信息</w:t>
            </w:r>
          </w:p>
        </w:tc>
        <w:tc>
          <w:tcPr>
            <w:tcW w:w="1582" w:type="pct"/>
            <w:tcBorders>
              <w:top w:val="nil"/>
              <w:left w:val="nil"/>
              <w:bottom w:val="single" w:color="auto" w:sz="4" w:space="0"/>
              <w:right w:val="single" w:color="auto" w:sz="4" w:space="0"/>
            </w:tcBorders>
            <w:noWrap w:val="0"/>
            <w:vAlign w:val="center"/>
          </w:tcPr>
          <w:p w14:paraId="082AAFD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包含开源许可证版权与开放标准、第三方授权信息等</w:t>
            </w:r>
          </w:p>
        </w:tc>
        <w:tc>
          <w:tcPr>
            <w:tcW w:w="1285" w:type="pct"/>
            <w:tcBorders>
              <w:top w:val="nil"/>
              <w:left w:val="nil"/>
              <w:bottom w:val="single" w:color="auto" w:sz="4" w:space="0"/>
              <w:right w:val="single" w:color="auto" w:sz="4" w:space="0"/>
            </w:tcBorders>
            <w:noWrap/>
            <w:vAlign w:val="bottom"/>
          </w:tcPr>
          <w:p w14:paraId="15D616E2">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bl>
    <w:p w14:paraId="6519E967">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二、软件成分明细</w:t>
      </w:r>
    </w:p>
    <w:p w14:paraId="061C383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填写说明：</w:t>
      </w:r>
    </w:p>
    <w:p w14:paraId="178DF46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仅针对应用开发软件在合同附件中单独提供，列出软件开发设计阶段，计划用到的各类软件成分，否则同《软件基本信息》表同步提供，软件成分信息内容需要经过甲方建设单位审核同意后使用，后续在软件开发实施过程中，如有更新，须经过审批后同步调整。</w:t>
      </w:r>
    </w:p>
    <w:p w14:paraId="59610393">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2.1 开发工具类</w:t>
      </w:r>
    </w:p>
    <w:p w14:paraId="28BABDA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开发工具类是指涉及软件开发管理过程中使用到的工具，含编程语言工具、编译工具、管理工具、代码安全审核/ 审计工具、安全测试工具等。</w:t>
      </w:r>
    </w:p>
    <w:p w14:paraId="5F5E7F23">
      <w:pPr>
        <w:spacing w:line="360" w:lineRule="auto"/>
        <w:jc w:val="left"/>
        <w:rPr>
          <w:rFonts w:hint="eastAsia" w:ascii="仿宋" w:hAnsi="仿宋" w:eastAsia="仿宋" w:cs="仿宋"/>
          <w:i w:val="0"/>
          <w:iCs w:val="0"/>
          <w:sz w:val="24"/>
          <w:szCs w:val="22"/>
          <w:highlight w:val="none"/>
        </w:rPr>
      </w:pPr>
    </w:p>
    <w:tbl>
      <w:tblPr>
        <w:tblStyle w:val="39"/>
        <w:tblW w:w="4999" w:type="pct"/>
        <w:tblInd w:w="0" w:type="dxa"/>
        <w:tblLayout w:type="fixed"/>
        <w:tblCellMar>
          <w:top w:w="0" w:type="dxa"/>
          <w:left w:w="108" w:type="dxa"/>
          <w:bottom w:w="0" w:type="dxa"/>
          <w:right w:w="108" w:type="dxa"/>
        </w:tblCellMar>
      </w:tblPr>
      <w:tblGrid>
        <w:gridCol w:w="543"/>
        <w:gridCol w:w="1052"/>
        <w:gridCol w:w="701"/>
        <w:gridCol w:w="1009"/>
        <w:gridCol w:w="2319"/>
        <w:gridCol w:w="2028"/>
        <w:gridCol w:w="868"/>
      </w:tblGrid>
      <w:tr w14:paraId="19C9D8C7">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noWrap/>
            <w:vAlign w:val="center"/>
          </w:tcPr>
          <w:p w14:paraId="65BF83A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序号</w:t>
            </w:r>
          </w:p>
        </w:tc>
        <w:tc>
          <w:tcPr>
            <w:tcW w:w="617" w:type="pct"/>
            <w:tcBorders>
              <w:top w:val="single" w:color="auto" w:sz="4" w:space="0"/>
              <w:left w:val="nil"/>
              <w:bottom w:val="single" w:color="auto" w:sz="4" w:space="0"/>
              <w:right w:val="single" w:color="auto" w:sz="4" w:space="0"/>
            </w:tcBorders>
            <w:noWrap/>
            <w:vAlign w:val="center"/>
          </w:tcPr>
          <w:p w14:paraId="6659768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软件类别</w:t>
            </w:r>
          </w:p>
        </w:tc>
        <w:tc>
          <w:tcPr>
            <w:tcW w:w="411" w:type="pct"/>
            <w:tcBorders>
              <w:top w:val="single" w:color="auto" w:sz="4" w:space="0"/>
              <w:left w:val="nil"/>
              <w:bottom w:val="single" w:color="auto" w:sz="4" w:space="0"/>
              <w:right w:val="single" w:color="auto" w:sz="4" w:space="0"/>
            </w:tcBorders>
            <w:noWrap/>
            <w:vAlign w:val="center"/>
          </w:tcPr>
          <w:p w14:paraId="14063F5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名称</w:t>
            </w:r>
          </w:p>
        </w:tc>
        <w:tc>
          <w:tcPr>
            <w:tcW w:w="591" w:type="pct"/>
            <w:tcBorders>
              <w:top w:val="single" w:color="auto" w:sz="4" w:space="0"/>
              <w:left w:val="nil"/>
              <w:bottom w:val="single" w:color="auto" w:sz="4" w:space="0"/>
              <w:right w:val="single" w:color="auto" w:sz="4" w:space="0"/>
            </w:tcBorders>
            <w:noWrap/>
            <w:vAlign w:val="center"/>
          </w:tcPr>
          <w:p w14:paraId="7F2AB4E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版本</w:t>
            </w:r>
          </w:p>
        </w:tc>
        <w:tc>
          <w:tcPr>
            <w:tcW w:w="1361" w:type="pct"/>
            <w:tcBorders>
              <w:top w:val="single" w:color="auto" w:sz="4" w:space="0"/>
              <w:left w:val="nil"/>
              <w:bottom w:val="single" w:color="auto" w:sz="4" w:space="0"/>
              <w:right w:val="single" w:color="auto" w:sz="4" w:space="0"/>
            </w:tcBorders>
            <w:noWrap/>
            <w:vAlign w:val="center"/>
          </w:tcPr>
          <w:p w14:paraId="7B0B50C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来源</w:t>
            </w:r>
          </w:p>
        </w:tc>
        <w:tc>
          <w:tcPr>
            <w:tcW w:w="1190" w:type="pct"/>
            <w:tcBorders>
              <w:top w:val="single" w:color="auto" w:sz="4" w:space="0"/>
              <w:left w:val="nil"/>
              <w:bottom w:val="single" w:color="auto" w:sz="4" w:space="0"/>
              <w:right w:val="single" w:color="auto" w:sz="4" w:space="0"/>
            </w:tcBorders>
            <w:noWrap/>
            <w:vAlign w:val="center"/>
          </w:tcPr>
          <w:p w14:paraId="75B82A16">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授权信息（开源工具-</w:t>
            </w:r>
            <w:r>
              <w:rPr>
                <w:rFonts w:hint="eastAsia" w:ascii="仿宋" w:hAnsi="仿宋" w:eastAsia="仿宋" w:cs="仿宋"/>
                <w:b/>
                <w:i w:val="0"/>
                <w:iCs w:val="0"/>
                <w:sz w:val="24"/>
                <w:szCs w:val="22"/>
                <w:highlight w:val="none"/>
              </w:rPr>
              <w:t>所使用的开源许可证类型</w:t>
            </w:r>
            <w:r>
              <w:rPr>
                <w:rFonts w:hint="eastAsia" w:ascii="仿宋" w:hAnsi="仿宋" w:eastAsia="仿宋" w:cs="仿宋"/>
                <w:i w:val="0"/>
                <w:iCs w:val="0"/>
                <w:sz w:val="24"/>
                <w:szCs w:val="22"/>
                <w:highlight w:val="none"/>
              </w:rPr>
              <w:t>、 采购工具-</w:t>
            </w:r>
            <w:r>
              <w:rPr>
                <w:rFonts w:hint="eastAsia" w:ascii="仿宋" w:hAnsi="仿宋" w:eastAsia="仿宋" w:cs="仿宋"/>
                <w:b/>
                <w:i w:val="0"/>
                <w:iCs w:val="0"/>
                <w:sz w:val="24"/>
                <w:szCs w:val="22"/>
                <w:highlight w:val="none"/>
              </w:rPr>
              <w:t>授权证明截图</w:t>
            </w:r>
            <w:r>
              <w:rPr>
                <w:rFonts w:hint="eastAsia" w:ascii="仿宋" w:hAnsi="仿宋" w:eastAsia="仿宋" w:cs="仿宋"/>
                <w:i w:val="0"/>
                <w:iCs w:val="0"/>
                <w:sz w:val="24"/>
                <w:szCs w:val="22"/>
                <w:highlight w:val="none"/>
              </w:rPr>
              <w:t>）</w:t>
            </w:r>
          </w:p>
        </w:tc>
        <w:tc>
          <w:tcPr>
            <w:tcW w:w="509" w:type="pct"/>
            <w:tcBorders>
              <w:top w:val="single" w:color="auto" w:sz="4" w:space="0"/>
              <w:left w:val="nil"/>
              <w:bottom w:val="single" w:color="auto" w:sz="4" w:space="0"/>
              <w:right w:val="single" w:color="auto" w:sz="4" w:space="0"/>
            </w:tcBorders>
            <w:noWrap/>
            <w:vAlign w:val="center"/>
          </w:tcPr>
          <w:p w14:paraId="5528126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其他</w:t>
            </w:r>
          </w:p>
        </w:tc>
      </w:tr>
      <w:tr w14:paraId="2BC8DB7B">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center"/>
          </w:tcPr>
          <w:p w14:paraId="2E8949C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示例</w:t>
            </w:r>
          </w:p>
        </w:tc>
        <w:tc>
          <w:tcPr>
            <w:tcW w:w="617" w:type="pct"/>
            <w:tcBorders>
              <w:top w:val="nil"/>
              <w:left w:val="nil"/>
              <w:bottom w:val="single" w:color="auto" w:sz="4" w:space="0"/>
              <w:right w:val="single" w:color="auto" w:sz="4" w:space="0"/>
            </w:tcBorders>
            <w:noWrap/>
            <w:vAlign w:val="center"/>
          </w:tcPr>
          <w:p w14:paraId="2C5F5F52">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single" w:color="auto" w:sz="4" w:space="0"/>
              <w:right w:val="single" w:color="auto" w:sz="4" w:space="0"/>
            </w:tcBorders>
            <w:noWrap/>
            <w:vAlign w:val="center"/>
          </w:tcPr>
          <w:p w14:paraId="038791C6">
            <w:pPr>
              <w:spacing w:line="360" w:lineRule="auto"/>
              <w:jc w:val="left"/>
              <w:rPr>
                <w:rFonts w:hint="eastAsia" w:ascii="仿宋" w:hAnsi="仿宋" w:eastAsia="仿宋" w:cs="仿宋"/>
                <w:i w:val="0"/>
                <w:iCs w:val="0"/>
                <w:sz w:val="24"/>
                <w:szCs w:val="22"/>
                <w:highlight w:val="none"/>
              </w:rPr>
            </w:pPr>
          </w:p>
        </w:tc>
        <w:tc>
          <w:tcPr>
            <w:tcW w:w="591" w:type="pct"/>
            <w:tcBorders>
              <w:top w:val="nil"/>
              <w:left w:val="nil"/>
              <w:bottom w:val="single" w:color="auto" w:sz="4" w:space="0"/>
              <w:right w:val="single" w:color="auto" w:sz="4" w:space="0"/>
            </w:tcBorders>
            <w:noWrap/>
            <w:vAlign w:val="center"/>
          </w:tcPr>
          <w:p w14:paraId="1D51CFF9">
            <w:pPr>
              <w:spacing w:line="360" w:lineRule="auto"/>
              <w:jc w:val="left"/>
              <w:rPr>
                <w:rFonts w:hint="eastAsia" w:ascii="仿宋" w:hAnsi="仿宋" w:eastAsia="仿宋" w:cs="仿宋"/>
                <w:i w:val="0"/>
                <w:iCs w:val="0"/>
                <w:sz w:val="24"/>
                <w:szCs w:val="22"/>
                <w:highlight w:val="none"/>
              </w:rPr>
            </w:pPr>
          </w:p>
        </w:tc>
        <w:tc>
          <w:tcPr>
            <w:tcW w:w="1361" w:type="pct"/>
            <w:tcBorders>
              <w:top w:val="nil"/>
              <w:left w:val="nil"/>
              <w:bottom w:val="single" w:color="auto" w:sz="4" w:space="0"/>
              <w:right w:val="single" w:color="auto" w:sz="4" w:space="0"/>
            </w:tcBorders>
            <w:noWrap/>
            <w:vAlign w:val="center"/>
          </w:tcPr>
          <w:p w14:paraId="7360A8E2">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官网下载，下载链接：</w:t>
            </w:r>
          </w:p>
        </w:tc>
        <w:tc>
          <w:tcPr>
            <w:tcW w:w="1190" w:type="pct"/>
            <w:tcBorders>
              <w:top w:val="nil"/>
              <w:left w:val="nil"/>
              <w:bottom w:val="single" w:color="auto" w:sz="4" w:space="0"/>
              <w:right w:val="single" w:color="auto" w:sz="4" w:space="0"/>
            </w:tcBorders>
            <w:noWrap/>
            <w:vAlign w:val="center"/>
          </w:tcPr>
          <w:p w14:paraId="249C4CA6">
            <w:pPr>
              <w:spacing w:line="360" w:lineRule="auto"/>
              <w:jc w:val="left"/>
              <w:rPr>
                <w:rFonts w:hint="eastAsia" w:ascii="仿宋" w:hAnsi="仿宋" w:eastAsia="仿宋" w:cs="仿宋"/>
                <w:i w:val="0"/>
                <w:iCs w:val="0"/>
                <w:sz w:val="24"/>
                <w:szCs w:val="22"/>
                <w:highlight w:val="none"/>
              </w:rPr>
            </w:pPr>
          </w:p>
        </w:tc>
        <w:tc>
          <w:tcPr>
            <w:tcW w:w="509" w:type="pct"/>
            <w:tcBorders>
              <w:top w:val="nil"/>
              <w:left w:val="nil"/>
              <w:bottom w:val="single" w:color="auto" w:sz="4" w:space="0"/>
              <w:right w:val="single" w:color="auto" w:sz="4" w:space="0"/>
            </w:tcBorders>
            <w:noWrap/>
            <w:vAlign w:val="bottom"/>
          </w:tcPr>
          <w:p w14:paraId="59B107A4">
            <w:pPr>
              <w:spacing w:line="360" w:lineRule="auto"/>
              <w:jc w:val="left"/>
              <w:rPr>
                <w:rFonts w:hint="eastAsia" w:ascii="仿宋" w:hAnsi="仿宋" w:eastAsia="仿宋" w:cs="仿宋"/>
                <w:i w:val="0"/>
                <w:iCs w:val="0"/>
                <w:sz w:val="24"/>
                <w:szCs w:val="22"/>
                <w:highlight w:val="none"/>
              </w:rPr>
            </w:pPr>
          </w:p>
        </w:tc>
      </w:tr>
      <w:tr w14:paraId="750D18FE">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noWrap/>
            <w:vAlign w:val="bottom"/>
          </w:tcPr>
          <w:p w14:paraId="7CCFD5E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1</w:t>
            </w:r>
          </w:p>
        </w:tc>
        <w:tc>
          <w:tcPr>
            <w:tcW w:w="617" w:type="pct"/>
            <w:tcBorders>
              <w:top w:val="nil"/>
              <w:left w:val="nil"/>
              <w:bottom w:val="single" w:color="auto" w:sz="4" w:space="0"/>
              <w:right w:val="single" w:color="auto" w:sz="4" w:space="0"/>
            </w:tcBorders>
            <w:noWrap/>
            <w:vAlign w:val="center"/>
          </w:tcPr>
          <w:p w14:paraId="46BCBCD2">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single" w:color="auto" w:sz="4" w:space="0"/>
              <w:right w:val="single" w:color="auto" w:sz="4" w:space="0"/>
            </w:tcBorders>
            <w:noWrap/>
            <w:vAlign w:val="bottom"/>
          </w:tcPr>
          <w:p w14:paraId="2628702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91" w:type="pct"/>
            <w:tcBorders>
              <w:top w:val="nil"/>
              <w:left w:val="nil"/>
              <w:bottom w:val="single" w:color="auto" w:sz="4" w:space="0"/>
              <w:right w:val="single" w:color="auto" w:sz="4" w:space="0"/>
            </w:tcBorders>
            <w:noWrap/>
            <w:vAlign w:val="bottom"/>
          </w:tcPr>
          <w:p w14:paraId="7054852D">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361" w:type="pct"/>
            <w:tcBorders>
              <w:top w:val="nil"/>
              <w:left w:val="nil"/>
              <w:bottom w:val="single" w:color="auto" w:sz="4" w:space="0"/>
              <w:right w:val="single" w:color="auto" w:sz="4" w:space="0"/>
            </w:tcBorders>
            <w:noWrap/>
            <w:vAlign w:val="bottom"/>
          </w:tcPr>
          <w:p w14:paraId="70D395A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190" w:type="pct"/>
            <w:tcBorders>
              <w:top w:val="nil"/>
              <w:left w:val="nil"/>
              <w:bottom w:val="single" w:color="auto" w:sz="4" w:space="0"/>
              <w:right w:val="single" w:color="auto" w:sz="4" w:space="0"/>
            </w:tcBorders>
            <w:noWrap/>
            <w:vAlign w:val="bottom"/>
          </w:tcPr>
          <w:p w14:paraId="7FFF6CF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09" w:type="pct"/>
            <w:tcBorders>
              <w:top w:val="nil"/>
              <w:left w:val="nil"/>
              <w:bottom w:val="single" w:color="auto" w:sz="4" w:space="0"/>
              <w:right w:val="single" w:color="auto" w:sz="4" w:space="0"/>
            </w:tcBorders>
            <w:noWrap/>
            <w:vAlign w:val="bottom"/>
          </w:tcPr>
          <w:p w14:paraId="13E3EA3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0A064C1F">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7ECB643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2</w:t>
            </w:r>
          </w:p>
        </w:tc>
        <w:tc>
          <w:tcPr>
            <w:tcW w:w="617" w:type="pct"/>
            <w:tcBorders>
              <w:top w:val="nil"/>
              <w:left w:val="nil"/>
              <w:bottom w:val="single" w:color="auto" w:sz="4" w:space="0"/>
              <w:right w:val="single" w:color="auto" w:sz="4" w:space="0"/>
            </w:tcBorders>
            <w:noWrap/>
            <w:vAlign w:val="center"/>
          </w:tcPr>
          <w:p w14:paraId="1C160328">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single" w:color="auto" w:sz="4" w:space="0"/>
              <w:right w:val="single" w:color="auto" w:sz="4" w:space="0"/>
            </w:tcBorders>
            <w:noWrap/>
            <w:vAlign w:val="bottom"/>
          </w:tcPr>
          <w:p w14:paraId="0E39513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91" w:type="pct"/>
            <w:tcBorders>
              <w:top w:val="nil"/>
              <w:left w:val="nil"/>
              <w:bottom w:val="single" w:color="auto" w:sz="4" w:space="0"/>
              <w:right w:val="single" w:color="auto" w:sz="4" w:space="0"/>
            </w:tcBorders>
            <w:noWrap/>
            <w:vAlign w:val="bottom"/>
          </w:tcPr>
          <w:p w14:paraId="785E041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361" w:type="pct"/>
            <w:tcBorders>
              <w:top w:val="nil"/>
              <w:left w:val="nil"/>
              <w:bottom w:val="single" w:color="auto" w:sz="4" w:space="0"/>
              <w:right w:val="single" w:color="auto" w:sz="4" w:space="0"/>
            </w:tcBorders>
            <w:noWrap/>
            <w:vAlign w:val="bottom"/>
          </w:tcPr>
          <w:p w14:paraId="21A8937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190" w:type="pct"/>
            <w:tcBorders>
              <w:top w:val="nil"/>
              <w:left w:val="nil"/>
              <w:bottom w:val="single" w:color="auto" w:sz="4" w:space="0"/>
              <w:right w:val="single" w:color="auto" w:sz="4" w:space="0"/>
            </w:tcBorders>
            <w:noWrap/>
            <w:vAlign w:val="bottom"/>
          </w:tcPr>
          <w:p w14:paraId="6D50F0C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09" w:type="pct"/>
            <w:tcBorders>
              <w:top w:val="nil"/>
              <w:left w:val="nil"/>
              <w:bottom w:val="single" w:color="auto" w:sz="4" w:space="0"/>
              <w:right w:val="single" w:color="auto" w:sz="4" w:space="0"/>
            </w:tcBorders>
            <w:noWrap/>
            <w:vAlign w:val="bottom"/>
          </w:tcPr>
          <w:p w14:paraId="6CEB897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4868A2D4">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noWrap/>
            <w:vAlign w:val="bottom"/>
          </w:tcPr>
          <w:p w14:paraId="3DF91DE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3</w:t>
            </w:r>
          </w:p>
        </w:tc>
        <w:tc>
          <w:tcPr>
            <w:tcW w:w="617" w:type="pct"/>
            <w:tcBorders>
              <w:top w:val="nil"/>
              <w:left w:val="nil"/>
              <w:bottom w:val="nil"/>
              <w:right w:val="single" w:color="auto" w:sz="4" w:space="0"/>
            </w:tcBorders>
            <w:noWrap/>
            <w:vAlign w:val="center"/>
          </w:tcPr>
          <w:p w14:paraId="64BF9422">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nil"/>
              <w:right w:val="single" w:color="auto" w:sz="4" w:space="0"/>
            </w:tcBorders>
            <w:noWrap/>
            <w:vAlign w:val="bottom"/>
          </w:tcPr>
          <w:p w14:paraId="1EB9EF3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91" w:type="pct"/>
            <w:tcBorders>
              <w:top w:val="nil"/>
              <w:left w:val="nil"/>
              <w:bottom w:val="nil"/>
              <w:right w:val="single" w:color="auto" w:sz="4" w:space="0"/>
            </w:tcBorders>
            <w:noWrap/>
            <w:vAlign w:val="bottom"/>
          </w:tcPr>
          <w:p w14:paraId="6FF189A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361" w:type="pct"/>
            <w:tcBorders>
              <w:top w:val="nil"/>
              <w:left w:val="nil"/>
              <w:bottom w:val="nil"/>
              <w:right w:val="single" w:color="auto" w:sz="4" w:space="0"/>
            </w:tcBorders>
            <w:noWrap/>
            <w:vAlign w:val="bottom"/>
          </w:tcPr>
          <w:p w14:paraId="6C54856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190" w:type="pct"/>
            <w:tcBorders>
              <w:top w:val="nil"/>
              <w:left w:val="nil"/>
              <w:bottom w:val="nil"/>
              <w:right w:val="single" w:color="auto" w:sz="4" w:space="0"/>
            </w:tcBorders>
            <w:noWrap/>
            <w:vAlign w:val="bottom"/>
          </w:tcPr>
          <w:p w14:paraId="4876024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509" w:type="pct"/>
            <w:tcBorders>
              <w:top w:val="nil"/>
              <w:left w:val="nil"/>
              <w:bottom w:val="nil"/>
              <w:right w:val="single" w:color="auto" w:sz="4" w:space="0"/>
            </w:tcBorders>
            <w:noWrap/>
            <w:vAlign w:val="bottom"/>
          </w:tcPr>
          <w:p w14:paraId="76CC444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066BFE6D">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noWrap/>
            <w:vAlign w:val="bottom"/>
          </w:tcPr>
          <w:p w14:paraId="0394D667">
            <w:pPr>
              <w:spacing w:line="360" w:lineRule="auto"/>
              <w:jc w:val="left"/>
              <w:rPr>
                <w:rFonts w:hint="eastAsia" w:ascii="仿宋" w:hAnsi="仿宋" w:eastAsia="仿宋" w:cs="仿宋"/>
                <w:i w:val="0"/>
                <w:iCs w:val="0"/>
                <w:sz w:val="24"/>
                <w:szCs w:val="22"/>
                <w:highlight w:val="none"/>
              </w:rPr>
            </w:pPr>
          </w:p>
        </w:tc>
        <w:tc>
          <w:tcPr>
            <w:tcW w:w="617" w:type="pct"/>
            <w:tcBorders>
              <w:top w:val="nil"/>
              <w:left w:val="nil"/>
              <w:bottom w:val="nil"/>
              <w:right w:val="single" w:color="auto" w:sz="4" w:space="0"/>
            </w:tcBorders>
            <w:noWrap/>
            <w:vAlign w:val="center"/>
          </w:tcPr>
          <w:p w14:paraId="53746C3F">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nil"/>
              <w:right w:val="single" w:color="auto" w:sz="4" w:space="0"/>
            </w:tcBorders>
            <w:noWrap/>
            <w:vAlign w:val="bottom"/>
          </w:tcPr>
          <w:p w14:paraId="26F21875">
            <w:pPr>
              <w:spacing w:line="360" w:lineRule="auto"/>
              <w:jc w:val="left"/>
              <w:rPr>
                <w:rFonts w:hint="eastAsia" w:ascii="仿宋" w:hAnsi="仿宋" w:eastAsia="仿宋" w:cs="仿宋"/>
                <w:i w:val="0"/>
                <w:iCs w:val="0"/>
                <w:sz w:val="24"/>
                <w:szCs w:val="22"/>
                <w:highlight w:val="none"/>
              </w:rPr>
            </w:pPr>
          </w:p>
        </w:tc>
        <w:tc>
          <w:tcPr>
            <w:tcW w:w="591" w:type="pct"/>
            <w:tcBorders>
              <w:top w:val="nil"/>
              <w:left w:val="nil"/>
              <w:bottom w:val="nil"/>
              <w:right w:val="single" w:color="auto" w:sz="4" w:space="0"/>
            </w:tcBorders>
            <w:noWrap/>
            <w:vAlign w:val="bottom"/>
          </w:tcPr>
          <w:p w14:paraId="07180580">
            <w:pPr>
              <w:spacing w:line="360" w:lineRule="auto"/>
              <w:jc w:val="left"/>
              <w:rPr>
                <w:rFonts w:hint="eastAsia" w:ascii="仿宋" w:hAnsi="仿宋" w:eastAsia="仿宋" w:cs="仿宋"/>
                <w:i w:val="0"/>
                <w:iCs w:val="0"/>
                <w:sz w:val="24"/>
                <w:szCs w:val="22"/>
                <w:highlight w:val="none"/>
              </w:rPr>
            </w:pPr>
          </w:p>
        </w:tc>
        <w:tc>
          <w:tcPr>
            <w:tcW w:w="1361" w:type="pct"/>
            <w:tcBorders>
              <w:top w:val="nil"/>
              <w:left w:val="nil"/>
              <w:bottom w:val="nil"/>
              <w:right w:val="single" w:color="auto" w:sz="4" w:space="0"/>
            </w:tcBorders>
            <w:noWrap/>
            <w:vAlign w:val="bottom"/>
          </w:tcPr>
          <w:p w14:paraId="7DCB6ED5">
            <w:pPr>
              <w:spacing w:line="360" w:lineRule="auto"/>
              <w:jc w:val="left"/>
              <w:rPr>
                <w:rFonts w:hint="eastAsia" w:ascii="仿宋" w:hAnsi="仿宋" w:eastAsia="仿宋" w:cs="仿宋"/>
                <w:i w:val="0"/>
                <w:iCs w:val="0"/>
                <w:sz w:val="24"/>
                <w:szCs w:val="22"/>
                <w:highlight w:val="none"/>
              </w:rPr>
            </w:pPr>
          </w:p>
        </w:tc>
        <w:tc>
          <w:tcPr>
            <w:tcW w:w="1190" w:type="pct"/>
            <w:tcBorders>
              <w:top w:val="nil"/>
              <w:left w:val="nil"/>
              <w:bottom w:val="nil"/>
              <w:right w:val="single" w:color="auto" w:sz="4" w:space="0"/>
            </w:tcBorders>
            <w:noWrap/>
            <w:vAlign w:val="bottom"/>
          </w:tcPr>
          <w:p w14:paraId="5D7EB936">
            <w:pPr>
              <w:spacing w:line="360" w:lineRule="auto"/>
              <w:jc w:val="left"/>
              <w:rPr>
                <w:rFonts w:hint="eastAsia" w:ascii="仿宋" w:hAnsi="仿宋" w:eastAsia="仿宋" w:cs="仿宋"/>
                <w:i w:val="0"/>
                <w:iCs w:val="0"/>
                <w:sz w:val="24"/>
                <w:szCs w:val="22"/>
                <w:highlight w:val="none"/>
              </w:rPr>
            </w:pPr>
          </w:p>
        </w:tc>
        <w:tc>
          <w:tcPr>
            <w:tcW w:w="509" w:type="pct"/>
            <w:tcBorders>
              <w:top w:val="nil"/>
              <w:left w:val="nil"/>
              <w:bottom w:val="nil"/>
              <w:right w:val="single" w:color="auto" w:sz="4" w:space="0"/>
            </w:tcBorders>
            <w:noWrap/>
            <w:vAlign w:val="bottom"/>
          </w:tcPr>
          <w:p w14:paraId="701C9241">
            <w:pPr>
              <w:spacing w:line="360" w:lineRule="auto"/>
              <w:jc w:val="left"/>
              <w:rPr>
                <w:rFonts w:hint="eastAsia" w:ascii="仿宋" w:hAnsi="仿宋" w:eastAsia="仿宋" w:cs="仿宋"/>
                <w:i w:val="0"/>
                <w:iCs w:val="0"/>
                <w:sz w:val="24"/>
                <w:szCs w:val="22"/>
                <w:highlight w:val="none"/>
              </w:rPr>
            </w:pPr>
          </w:p>
        </w:tc>
      </w:tr>
      <w:tr w14:paraId="2D17CBDB">
        <w:trPr>
          <w:trHeight w:val="280" w:hRule="atLeast"/>
        </w:trPr>
        <w:tc>
          <w:tcPr>
            <w:tcW w:w="318" w:type="pct"/>
            <w:tcBorders>
              <w:top w:val="nil"/>
              <w:left w:val="single" w:color="auto" w:sz="4" w:space="0"/>
              <w:bottom w:val="nil"/>
              <w:right w:val="single" w:color="auto" w:sz="4" w:space="0"/>
            </w:tcBorders>
            <w:noWrap/>
            <w:vAlign w:val="bottom"/>
          </w:tcPr>
          <w:p w14:paraId="7975346A">
            <w:pPr>
              <w:spacing w:line="360" w:lineRule="auto"/>
              <w:jc w:val="left"/>
              <w:rPr>
                <w:rFonts w:hint="eastAsia" w:ascii="仿宋" w:hAnsi="仿宋" w:eastAsia="仿宋" w:cs="仿宋"/>
                <w:i w:val="0"/>
                <w:iCs w:val="0"/>
                <w:sz w:val="24"/>
                <w:szCs w:val="22"/>
                <w:highlight w:val="none"/>
              </w:rPr>
            </w:pPr>
          </w:p>
        </w:tc>
        <w:tc>
          <w:tcPr>
            <w:tcW w:w="617" w:type="pct"/>
            <w:tcBorders>
              <w:top w:val="nil"/>
              <w:left w:val="nil"/>
              <w:bottom w:val="nil"/>
              <w:right w:val="single" w:color="auto" w:sz="4" w:space="0"/>
            </w:tcBorders>
            <w:noWrap/>
            <w:vAlign w:val="center"/>
          </w:tcPr>
          <w:p w14:paraId="584B0652">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nil"/>
              <w:right w:val="single" w:color="auto" w:sz="4" w:space="0"/>
            </w:tcBorders>
            <w:noWrap/>
            <w:vAlign w:val="bottom"/>
          </w:tcPr>
          <w:p w14:paraId="3BD64408">
            <w:pPr>
              <w:spacing w:line="360" w:lineRule="auto"/>
              <w:jc w:val="left"/>
              <w:rPr>
                <w:rFonts w:hint="eastAsia" w:ascii="仿宋" w:hAnsi="仿宋" w:eastAsia="仿宋" w:cs="仿宋"/>
                <w:i w:val="0"/>
                <w:iCs w:val="0"/>
                <w:sz w:val="24"/>
                <w:szCs w:val="22"/>
                <w:highlight w:val="none"/>
              </w:rPr>
            </w:pPr>
          </w:p>
        </w:tc>
        <w:tc>
          <w:tcPr>
            <w:tcW w:w="591" w:type="pct"/>
            <w:tcBorders>
              <w:top w:val="nil"/>
              <w:left w:val="nil"/>
              <w:bottom w:val="nil"/>
              <w:right w:val="single" w:color="auto" w:sz="4" w:space="0"/>
            </w:tcBorders>
            <w:noWrap/>
            <w:vAlign w:val="bottom"/>
          </w:tcPr>
          <w:p w14:paraId="306F2590">
            <w:pPr>
              <w:spacing w:line="360" w:lineRule="auto"/>
              <w:jc w:val="left"/>
              <w:rPr>
                <w:rFonts w:hint="eastAsia" w:ascii="仿宋" w:hAnsi="仿宋" w:eastAsia="仿宋" w:cs="仿宋"/>
                <w:i w:val="0"/>
                <w:iCs w:val="0"/>
                <w:sz w:val="24"/>
                <w:szCs w:val="22"/>
                <w:highlight w:val="none"/>
              </w:rPr>
            </w:pPr>
          </w:p>
        </w:tc>
        <w:tc>
          <w:tcPr>
            <w:tcW w:w="1361" w:type="pct"/>
            <w:tcBorders>
              <w:top w:val="nil"/>
              <w:left w:val="nil"/>
              <w:bottom w:val="nil"/>
              <w:right w:val="single" w:color="auto" w:sz="4" w:space="0"/>
            </w:tcBorders>
            <w:noWrap/>
            <w:vAlign w:val="bottom"/>
          </w:tcPr>
          <w:p w14:paraId="1A20F7BA">
            <w:pPr>
              <w:spacing w:line="360" w:lineRule="auto"/>
              <w:jc w:val="left"/>
              <w:rPr>
                <w:rFonts w:hint="eastAsia" w:ascii="仿宋" w:hAnsi="仿宋" w:eastAsia="仿宋" w:cs="仿宋"/>
                <w:i w:val="0"/>
                <w:iCs w:val="0"/>
                <w:sz w:val="24"/>
                <w:szCs w:val="22"/>
                <w:highlight w:val="none"/>
              </w:rPr>
            </w:pPr>
          </w:p>
        </w:tc>
        <w:tc>
          <w:tcPr>
            <w:tcW w:w="1190" w:type="pct"/>
            <w:tcBorders>
              <w:top w:val="nil"/>
              <w:left w:val="nil"/>
              <w:bottom w:val="nil"/>
              <w:right w:val="single" w:color="auto" w:sz="4" w:space="0"/>
            </w:tcBorders>
            <w:noWrap/>
            <w:vAlign w:val="bottom"/>
          </w:tcPr>
          <w:p w14:paraId="5306C555">
            <w:pPr>
              <w:spacing w:line="360" w:lineRule="auto"/>
              <w:jc w:val="left"/>
              <w:rPr>
                <w:rFonts w:hint="eastAsia" w:ascii="仿宋" w:hAnsi="仿宋" w:eastAsia="仿宋" w:cs="仿宋"/>
                <w:i w:val="0"/>
                <w:iCs w:val="0"/>
                <w:sz w:val="24"/>
                <w:szCs w:val="22"/>
                <w:highlight w:val="none"/>
              </w:rPr>
            </w:pPr>
          </w:p>
        </w:tc>
        <w:tc>
          <w:tcPr>
            <w:tcW w:w="509" w:type="pct"/>
            <w:tcBorders>
              <w:top w:val="nil"/>
              <w:left w:val="nil"/>
              <w:bottom w:val="nil"/>
              <w:right w:val="single" w:color="auto" w:sz="4" w:space="0"/>
            </w:tcBorders>
            <w:noWrap/>
            <w:vAlign w:val="bottom"/>
          </w:tcPr>
          <w:p w14:paraId="16CFEC98">
            <w:pPr>
              <w:spacing w:line="360" w:lineRule="auto"/>
              <w:jc w:val="left"/>
              <w:rPr>
                <w:rFonts w:hint="eastAsia" w:ascii="仿宋" w:hAnsi="仿宋" w:eastAsia="仿宋" w:cs="仿宋"/>
                <w:i w:val="0"/>
                <w:iCs w:val="0"/>
                <w:sz w:val="24"/>
                <w:szCs w:val="22"/>
                <w:highlight w:val="none"/>
              </w:rPr>
            </w:pPr>
          </w:p>
        </w:tc>
      </w:tr>
      <w:tr w14:paraId="4EFDC9F0">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noWrap/>
            <w:vAlign w:val="bottom"/>
          </w:tcPr>
          <w:p w14:paraId="5D52273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w:t>
            </w:r>
          </w:p>
        </w:tc>
        <w:tc>
          <w:tcPr>
            <w:tcW w:w="617" w:type="pct"/>
            <w:tcBorders>
              <w:top w:val="nil"/>
              <w:left w:val="nil"/>
              <w:bottom w:val="single" w:color="auto" w:sz="4" w:space="0"/>
              <w:right w:val="single" w:color="auto" w:sz="4" w:space="0"/>
            </w:tcBorders>
            <w:noWrap/>
            <w:vAlign w:val="center"/>
          </w:tcPr>
          <w:p w14:paraId="753BB767">
            <w:pPr>
              <w:spacing w:line="360" w:lineRule="auto"/>
              <w:jc w:val="left"/>
              <w:rPr>
                <w:rFonts w:hint="eastAsia" w:ascii="仿宋" w:hAnsi="仿宋" w:eastAsia="仿宋" w:cs="仿宋"/>
                <w:i w:val="0"/>
                <w:iCs w:val="0"/>
                <w:sz w:val="24"/>
                <w:szCs w:val="22"/>
                <w:highlight w:val="none"/>
              </w:rPr>
            </w:pPr>
          </w:p>
        </w:tc>
        <w:tc>
          <w:tcPr>
            <w:tcW w:w="411" w:type="pct"/>
            <w:tcBorders>
              <w:top w:val="nil"/>
              <w:left w:val="nil"/>
              <w:bottom w:val="single" w:color="auto" w:sz="4" w:space="0"/>
              <w:right w:val="single" w:color="auto" w:sz="4" w:space="0"/>
            </w:tcBorders>
            <w:noWrap/>
            <w:vAlign w:val="bottom"/>
          </w:tcPr>
          <w:p w14:paraId="7D80B63F">
            <w:pPr>
              <w:spacing w:line="360" w:lineRule="auto"/>
              <w:jc w:val="left"/>
              <w:rPr>
                <w:rFonts w:hint="eastAsia" w:ascii="仿宋" w:hAnsi="仿宋" w:eastAsia="仿宋" w:cs="仿宋"/>
                <w:i w:val="0"/>
                <w:iCs w:val="0"/>
                <w:sz w:val="24"/>
                <w:szCs w:val="22"/>
                <w:highlight w:val="none"/>
              </w:rPr>
            </w:pPr>
          </w:p>
        </w:tc>
        <w:tc>
          <w:tcPr>
            <w:tcW w:w="591" w:type="pct"/>
            <w:tcBorders>
              <w:top w:val="nil"/>
              <w:left w:val="nil"/>
              <w:bottom w:val="single" w:color="auto" w:sz="4" w:space="0"/>
              <w:right w:val="single" w:color="auto" w:sz="4" w:space="0"/>
            </w:tcBorders>
            <w:noWrap/>
            <w:vAlign w:val="bottom"/>
          </w:tcPr>
          <w:p w14:paraId="61B5CF61">
            <w:pPr>
              <w:spacing w:line="360" w:lineRule="auto"/>
              <w:jc w:val="left"/>
              <w:rPr>
                <w:rFonts w:hint="eastAsia" w:ascii="仿宋" w:hAnsi="仿宋" w:eastAsia="仿宋" w:cs="仿宋"/>
                <w:i w:val="0"/>
                <w:iCs w:val="0"/>
                <w:sz w:val="24"/>
                <w:szCs w:val="22"/>
                <w:highlight w:val="none"/>
              </w:rPr>
            </w:pPr>
          </w:p>
        </w:tc>
        <w:tc>
          <w:tcPr>
            <w:tcW w:w="1361" w:type="pct"/>
            <w:tcBorders>
              <w:top w:val="nil"/>
              <w:left w:val="nil"/>
              <w:bottom w:val="single" w:color="auto" w:sz="4" w:space="0"/>
              <w:right w:val="single" w:color="auto" w:sz="4" w:space="0"/>
            </w:tcBorders>
            <w:noWrap/>
            <w:vAlign w:val="bottom"/>
          </w:tcPr>
          <w:p w14:paraId="1A74786D">
            <w:pPr>
              <w:spacing w:line="360" w:lineRule="auto"/>
              <w:jc w:val="left"/>
              <w:rPr>
                <w:rFonts w:hint="eastAsia" w:ascii="仿宋" w:hAnsi="仿宋" w:eastAsia="仿宋" w:cs="仿宋"/>
                <w:i w:val="0"/>
                <w:iCs w:val="0"/>
                <w:sz w:val="24"/>
                <w:szCs w:val="22"/>
                <w:highlight w:val="none"/>
              </w:rPr>
            </w:pPr>
          </w:p>
        </w:tc>
        <w:tc>
          <w:tcPr>
            <w:tcW w:w="1190" w:type="pct"/>
            <w:tcBorders>
              <w:top w:val="nil"/>
              <w:left w:val="nil"/>
              <w:bottom w:val="single" w:color="auto" w:sz="4" w:space="0"/>
              <w:right w:val="single" w:color="auto" w:sz="4" w:space="0"/>
            </w:tcBorders>
            <w:noWrap/>
            <w:vAlign w:val="bottom"/>
          </w:tcPr>
          <w:p w14:paraId="0FF64F01">
            <w:pPr>
              <w:spacing w:line="360" w:lineRule="auto"/>
              <w:jc w:val="left"/>
              <w:rPr>
                <w:rFonts w:hint="eastAsia" w:ascii="仿宋" w:hAnsi="仿宋" w:eastAsia="仿宋" w:cs="仿宋"/>
                <w:i w:val="0"/>
                <w:iCs w:val="0"/>
                <w:sz w:val="24"/>
                <w:szCs w:val="22"/>
                <w:highlight w:val="none"/>
              </w:rPr>
            </w:pPr>
          </w:p>
        </w:tc>
        <w:tc>
          <w:tcPr>
            <w:tcW w:w="509" w:type="pct"/>
            <w:tcBorders>
              <w:top w:val="nil"/>
              <w:left w:val="nil"/>
              <w:bottom w:val="single" w:color="auto" w:sz="4" w:space="0"/>
              <w:right w:val="single" w:color="auto" w:sz="4" w:space="0"/>
            </w:tcBorders>
            <w:noWrap/>
            <w:vAlign w:val="bottom"/>
          </w:tcPr>
          <w:p w14:paraId="1A9F4A98">
            <w:pPr>
              <w:spacing w:line="360" w:lineRule="auto"/>
              <w:jc w:val="left"/>
              <w:rPr>
                <w:rFonts w:hint="eastAsia" w:ascii="仿宋" w:hAnsi="仿宋" w:eastAsia="仿宋" w:cs="仿宋"/>
                <w:i w:val="0"/>
                <w:iCs w:val="0"/>
                <w:sz w:val="24"/>
                <w:szCs w:val="22"/>
                <w:highlight w:val="none"/>
              </w:rPr>
            </w:pPr>
          </w:p>
        </w:tc>
      </w:tr>
    </w:tbl>
    <w:p w14:paraId="7B54059D">
      <w:pPr>
        <w:spacing w:line="360" w:lineRule="auto"/>
        <w:jc w:val="left"/>
        <w:rPr>
          <w:rFonts w:hint="eastAsia" w:ascii="仿宋" w:hAnsi="仿宋" w:eastAsia="仿宋" w:cs="仿宋"/>
          <w:i w:val="0"/>
          <w:iCs w:val="0"/>
          <w:sz w:val="24"/>
          <w:szCs w:val="22"/>
          <w:highlight w:val="none"/>
        </w:rPr>
      </w:pPr>
    </w:p>
    <w:p w14:paraId="2CCE952B">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2.2 第三方软件类</w:t>
      </w:r>
    </w:p>
    <w:p w14:paraId="64D6AC2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第三方软件类是指软件中应用的第三方软件，包括数据库、中间件等。</w:t>
      </w:r>
    </w:p>
    <w:tbl>
      <w:tblPr>
        <w:tblStyle w:val="39"/>
        <w:tblW w:w="8522" w:type="dxa"/>
        <w:tblInd w:w="0" w:type="dxa"/>
        <w:tblLayout w:type="fixed"/>
        <w:tblCellMar>
          <w:top w:w="0" w:type="dxa"/>
          <w:left w:w="108" w:type="dxa"/>
          <w:bottom w:w="0" w:type="dxa"/>
          <w:right w:w="108" w:type="dxa"/>
        </w:tblCellMar>
      </w:tblPr>
      <w:tblGrid>
        <w:gridCol w:w="823"/>
        <w:gridCol w:w="1015"/>
        <w:gridCol w:w="1183"/>
        <w:gridCol w:w="770"/>
        <w:gridCol w:w="2362"/>
        <w:gridCol w:w="1639"/>
        <w:gridCol w:w="730"/>
      </w:tblGrid>
      <w:tr w14:paraId="2D55C4A2">
        <w:tblPrEx>
          <w:tblCellMar>
            <w:top w:w="0" w:type="dxa"/>
            <w:left w:w="108" w:type="dxa"/>
            <w:bottom w:w="0" w:type="dxa"/>
            <w:right w:w="108" w:type="dxa"/>
          </w:tblCellMar>
        </w:tblPrEx>
        <w:trPr>
          <w:trHeight w:val="330" w:hRule="atLeast"/>
        </w:trPr>
        <w:tc>
          <w:tcPr>
            <w:tcW w:w="823" w:type="dxa"/>
            <w:tcBorders>
              <w:top w:val="single" w:color="auto" w:sz="4" w:space="0"/>
              <w:left w:val="single" w:color="auto" w:sz="4" w:space="0"/>
              <w:bottom w:val="single" w:color="auto" w:sz="4" w:space="0"/>
              <w:right w:val="single" w:color="auto" w:sz="4" w:space="0"/>
            </w:tcBorders>
            <w:noWrap/>
            <w:vAlign w:val="bottom"/>
          </w:tcPr>
          <w:p w14:paraId="7164BE06">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序号</w:t>
            </w:r>
          </w:p>
        </w:tc>
        <w:tc>
          <w:tcPr>
            <w:tcW w:w="1015" w:type="dxa"/>
            <w:tcBorders>
              <w:top w:val="single" w:color="auto" w:sz="4" w:space="0"/>
              <w:left w:val="nil"/>
              <w:bottom w:val="single" w:color="auto" w:sz="4" w:space="0"/>
              <w:right w:val="single" w:color="auto" w:sz="4" w:space="0"/>
            </w:tcBorders>
            <w:noWrap/>
            <w:vAlign w:val="bottom"/>
          </w:tcPr>
          <w:p w14:paraId="611F833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软件类别</w:t>
            </w:r>
          </w:p>
        </w:tc>
        <w:tc>
          <w:tcPr>
            <w:tcW w:w="1183" w:type="dxa"/>
            <w:tcBorders>
              <w:top w:val="single" w:color="auto" w:sz="4" w:space="0"/>
              <w:left w:val="nil"/>
              <w:bottom w:val="single" w:color="auto" w:sz="4" w:space="0"/>
              <w:right w:val="single" w:color="auto" w:sz="4" w:space="0"/>
            </w:tcBorders>
            <w:noWrap/>
            <w:vAlign w:val="bottom"/>
          </w:tcPr>
          <w:p w14:paraId="2934479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名称</w:t>
            </w:r>
          </w:p>
        </w:tc>
        <w:tc>
          <w:tcPr>
            <w:tcW w:w="770" w:type="dxa"/>
            <w:tcBorders>
              <w:top w:val="single" w:color="auto" w:sz="4" w:space="0"/>
              <w:left w:val="nil"/>
              <w:bottom w:val="single" w:color="auto" w:sz="4" w:space="0"/>
              <w:right w:val="single" w:color="auto" w:sz="4" w:space="0"/>
            </w:tcBorders>
            <w:noWrap/>
            <w:vAlign w:val="bottom"/>
          </w:tcPr>
          <w:p w14:paraId="6238DC7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版本</w:t>
            </w:r>
          </w:p>
        </w:tc>
        <w:tc>
          <w:tcPr>
            <w:tcW w:w="2362" w:type="dxa"/>
            <w:tcBorders>
              <w:top w:val="single" w:color="auto" w:sz="4" w:space="0"/>
              <w:left w:val="nil"/>
              <w:bottom w:val="single" w:color="auto" w:sz="4" w:space="0"/>
              <w:right w:val="single" w:color="auto" w:sz="4" w:space="0"/>
            </w:tcBorders>
            <w:noWrap/>
            <w:vAlign w:val="bottom"/>
          </w:tcPr>
          <w:p w14:paraId="16674F7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来源</w:t>
            </w:r>
          </w:p>
        </w:tc>
        <w:tc>
          <w:tcPr>
            <w:tcW w:w="1639" w:type="dxa"/>
            <w:tcBorders>
              <w:top w:val="single" w:color="auto" w:sz="4" w:space="0"/>
              <w:left w:val="nil"/>
              <w:bottom w:val="single" w:color="auto" w:sz="4" w:space="0"/>
              <w:right w:val="single" w:color="auto" w:sz="4" w:space="0"/>
            </w:tcBorders>
            <w:noWrap/>
            <w:vAlign w:val="bottom"/>
          </w:tcPr>
          <w:p w14:paraId="40539632">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授权信息</w:t>
            </w:r>
          </w:p>
        </w:tc>
        <w:tc>
          <w:tcPr>
            <w:tcW w:w="730" w:type="dxa"/>
            <w:tcBorders>
              <w:top w:val="single" w:color="auto" w:sz="4" w:space="0"/>
              <w:left w:val="nil"/>
              <w:bottom w:val="single" w:color="auto" w:sz="4" w:space="0"/>
              <w:right w:val="single" w:color="auto" w:sz="4" w:space="0"/>
            </w:tcBorders>
            <w:noWrap/>
            <w:vAlign w:val="bottom"/>
          </w:tcPr>
          <w:p w14:paraId="731E59C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其他</w:t>
            </w:r>
          </w:p>
        </w:tc>
      </w:tr>
      <w:tr w14:paraId="12996C26">
        <w:tblPrEx>
          <w:tblCellMar>
            <w:top w:w="0" w:type="dxa"/>
            <w:left w:w="108" w:type="dxa"/>
            <w:bottom w:w="0" w:type="dxa"/>
            <w:right w:w="108" w:type="dxa"/>
          </w:tblCellMar>
        </w:tblPrEx>
        <w:trPr>
          <w:trHeight w:val="281" w:hRule="atLeast"/>
        </w:trPr>
        <w:tc>
          <w:tcPr>
            <w:tcW w:w="823" w:type="dxa"/>
            <w:tcBorders>
              <w:top w:val="nil"/>
              <w:left w:val="single" w:color="auto" w:sz="4" w:space="0"/>
              <w:bottom w:val="single" w:color="auto" w:sz="4" w:space="0"/>
              <w:right w:val="single" w:color="auto" w:sz="4" w:space="0"/>
            </w:tcBorders>
            <w:noWrap/>
            <w:vAlign w:val="center"/>
          </w:tcPr>
          <w:p w14:paraId="74A3C90A">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示例1</w:t>
            </w:r>
          </w:p>
        </w:tc>
        <w:tc>
          <w:tcPr>
            <w:tcW w:w="1015" w:type="dxa"/>
            <w:tcBorders>
              <w:top w:val="nil"/>
              <w:left w:val="nil"/>
              <w:bottom w:val="single" w:color="auto" w:sz="4" w:space="0"/>
              <w:right w:val="single" w:color="auto" w:sz="4" w:space="0"/>
            </w:tcBorders>
            <w:noWrap/>
            <w:vAlign w:val="center"/>
          </w:tcPr>
          <w:p w14:paraId="0537C1DC">
            <w:pPr>
              <w:spacing w:line="360" w:lineRule="auto"/>
              <w:jc w:val="left"/>
              <w:rPr>
                <w:rFonts w:hint="eastAsia" w:ascii="仿宋" w:hAnsi="仿宋" w:eastAsia="仿宋" w:cs="仿宋"/>
                <w:i w:val="0"/>
                <w:iCs w:val="0"/>
                <w:sz w:val="24"/>
                <w:szCs w:val="22"/>
                <w:highlight w:val="none"/>
              </w:rPr>
            </w:pPr>
          </w:p>
        </w:tc>
        <w:tc>
          <w:tcPr>
            <w:tcW w:w="1183" w:type="dxa"/>
            <w:tcBorders>
              <w:top w:val="nil"/>
              <w:left w:val="nil"/>
              <w:bottom w:val="single" w:color="auto" w:sz="4" w:space="0"/>
              <w:right w:val="single" w:color="auto" w:sz="4" w:space="0"/>
            </w:tcBorders>
            <w:noWrap/>
            <w:vAlign w:val="center"/>
          </w:tcPr>
          <w:p w14:paraId="5023944D">
            <w:pPr>
              <w:spacing w:line="360" w:lineRule="auto"/>
              <w:jc w:val="left"/>
              <w:rPr>
                <w:rFonts w:hint="eastAsia" w:ascii="仿宋" w:hAnsi="仿宋" w:eastAsia="仿宋" w:cs="仿宋"/>
                <w:i w:val="0"/>
                <w:iCs w:val="0"/>
                <w:sz w:val="24"/>
                <w:szCs w:val="22"/>
                <w:highlight w:val="none"/>
              </w:rPr>
            </w:pPr>
          </w:p>
        </w:tc>
        <w:tc>
          <w:tcPr>
            <w:tcW w:w="770" w:type="dxa"/>
            <w:tcBorders>
              <w:top w:val="nil"/>
              <w:left w:val="nil"/>
              <w:bottom w:val="single" w:color="auto" w:sz="4" w:space="0"/>
              <w:right w:val="single" w:color="auto" w:sz="4" w:space="0"/>
            </w:tcBorders>
            <w:noWrap/>
            <w:vAlign w:val="center"/>
          </w:tcPr>
          <w:p w14:paraId="7B461094">
            <w:pPr>
              <w:spacing w:line="360" w:lineRule="auto"/>
              <w:jc w:val="left"/>
              <w:rPr>
                <w:rFonts w:hint="eastAsia" w:ascii="仿宋" w:hAnsi="仿宋" w:eastAsia="仿宋" w:cs="仿宋"/>
                <w:i w:val="0"/>
                <w:iCs w:val="0"/>
                <w:sz w:val="24"/>
                <w:szCs w:val="22"/>
                <w:highlight w:val="none"/>
              </w:rPr>
            </w:pPr>
          </w:p>
        </w:tc>
        <w:tc>
          <w:tcPr>
            <w:tcW w:w="2362" w:type="dxa"/>
            <w:tcBorders>
              <w:top w:val="nil"/>
              <w:left w:val="nil"/>
              <w:bottom w:val="single" w:color="auto" w:sz="4" w:space="0"/>
              <w:right w:val="single" w:color="auto" w:sz="4" w:space="0"/>
            </w:tcBorders>
            <w:noWrap/>
            <w:vAlign w:val="center"/>
          </w:tcPr>
          <w:p w14:paraId="132F385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官网下载，下载链接：</w:t>
            </w:r>
          </w:p>
        </w:tc>
        <w:tc>
          <w:tcPr>
            <w:tcW w:w="1639" w:type="dxa"/>
            <w:tcBorders>
              <w:top w:val="nil"/>
              <w:left w:val="nil"/>
              <w:bottom w:val="single" w:color="auto" w:sz="4" w:space="0"/>
              <w:right w:val="single" w:color="auto" w:sz="4" w:space="0"/>
            </w:tcBorders>
            <w:noWrap/>
            <w:vAlign w:val="center"/>
          </w:tcPr>
          <w:p w14:paraId="08F21BA9">
            <w:pPr>
              <w:spacing w:line="360" w:lineRule="auto"/>
              <w:jc w:val="left"/>
              <w:rPr>
                <w:rFonts w:hint="eastAsia" w:ascii="仿宋" w:hAnsi="仿宋" w:eastAsia="仿宋" w:cs="仿宋"/>
                <w:i w:val="0"/>
                <w:iCs w:val="0"/>
                <w:sz w:val="24"/>
                <w:szCs w:val="22"/>
                <w:highlight w:val="none"/>
              </w:rPr>
            </w:pPr>
          </w:p>
        </w:tc>
        <w:tc>
          <w:tcPr>
            <w:tcW w:w="730" w:type="dxa"/>
            <w:tcBorders>
              <w:top w:val="nil"/>
              <w:left w:val="nil"/>
              <w:bottom w:val="single" w:color="auto" w:sz="4" w:space="0"/>
              <w:right w:val="single" w:color="auto" w:sz="4" w:space="0"/>
            </w:tcBorders>
            <w:noWrap/>
            <w:vAlign w:val="bottom"/>
          </w:tcPr>
          <w:p w14:paraId="7811DD61">
            <w:pPr>
              <w:spacing w:line="360" w:lineRule="auto"/>
              <w:jc w:val="left"/>
              <w:rPr>
                <w:rFonts w:hint="eastAsia" w:ascii="仿宋" w:hAnsi="仿宋" w:eastAsia="仿宋" w:cs="仿宋"/>
                <w:i w:val="0"/>
                <w:iCs w:val="0"/>
                <w:sz w:val="24"/>
                <w:szCs w:val="22"/>
                <w:highlight w:val="none"/>
              </w:rPr>
            </w:pPr>
          </w:p>
        </w:tc>
      </w:tr>
      <w:tr w14:paraId="6CD59A83">
        <w:tblPrEx>
          <w:tblCellMar>
            <w:top w:w="0" w:type="dxa"/>
            <w:left w:w="108" w:type="dxa"/>
            <w:bottom w:w="0" w:type="dxa"/>
            <w:right w:w="108" w:type="dxa"/>
          </w:tblCellMar>
        </w:tblPrEx>
        <w:trPr>
          <w:trHeight w:val="281" w:hRule="atLeast"/>
        </w:trPr>
        <w:tc>
          <w:tcPr>
            <w:tcW w:w="823" w:type="dxa"/>
            <w:tcBorders>
              <w:top w:val="nil"/>
              <w:left w:val="single" w:color="auto" w:sz="4" w:space="0"/>
              <w:bottom w:val="single" w:color="auto" w:sz="4" w:space="0"/>
              <w:right w:val="single" w:color="auto" w:sz="4" w:space="0"/>
            </w:tcBorders>
            <w:noWrap/>
            <w:vAlign w:val="center"/>
          </w:tcPr>
          <w:p w14:paraId="2F56D994">
            <w:pPr>
              <w:spacing w:line="360" w:lineRule="auto"/>
              <w:jc w:val="left"/>
              <w:rPr>
                <w:rFonts w:hint="eastAsia" w:ascii="仿宋" w:hAnsi="仿宋" w:eastAsia="仿宋" w:cs="仿宋"/>
                <w:i w:val="0"/>
                <w:iCs w:val="0"/>
                <w:sz w:val="24"/>
                <w:szCs w:val="22"/>
                <w:highlight w:val="none"/>
              </w:rPr>
            </w:pPr>
          </w:p>
        </w:tc>
        <w:tc>
          <w:tcPr>
            <w:tcW w:w="1015" w:type="dxa"/>
            <w:tcBorders>
              <w:top w:val="nil"/>
              <w:left w:val="nil"/>
              <w:bottom w:val="single" w:color="auto" w:sz="4" w:space="0"/>
              <w:right w:val="single" w:color="auto" w:sz="4" w:space="0"/>
            </w:tcBorders>
            <w:noWrap/>
            <w:vAlign w:val="center"/>
          </w:tcPr>
          <w:p w14:paraId="6F4BDF81">
            <w:pPr>
              <w:spacing w:line="360" w:lineRule="auto"/>
              <w:jc w:val="left"/>
              <w:rPr>
                <w:rFonts w:hint="eastAsia" w:ascii="仿宋" w:hAnsi="仿宋" w:eastAsia="仿宋" w:cs="仿宋"/>
                <w:i w:val="0"/>
                <w:iCs w:val="0"/>
                <w:sz w:val="24"/>
                <w:szCs w:val="22"/>
                <w:highlight w:val="none"/>
              </w:rPr>
            </w:pPr>
          </w:p>
        </w:tc>
        <w:tc>
          <w:tcPr>
            <w:tcW w:w="1183" w:type="dxa"/>
            <w:tcBorders>
              <w:top w:val="nil"/>
              <w:left w:val="nil"/>
              <w:bottom w:val="single" w:color="auto" w:sz="4" w:space="0"/>
              <w:right w:val="single" w:color="auto" w:sz="4" w:space="0"/>
            </w:tcBorders>
            <w:noWrap/>
            <w:vAlign w:val="center"/>
          </w:tcPr>
          <w:p w14:paraId="5EC0B6DC">
            <w:pPr>
              <w:spacing w:line="360" w:lineRule="auto"/>
              <w:jc w:val="left"/>
              <w:rPr>
                <w:rFonts w:hint="eastAsia" w:ascii="仿宋" w:hAnsi="仿宋" w:eastAsia="仿宋" w:cs="仿宋"/>
                <w:i w:val="0"/>
                <w:iCs w:val="0"/>
                <w:sz w:val="24"/>
                <w:szCs w:val="22"/>
                <w:highlight w:val="none"/>
              </w:rPr>
            </w:pPr>
          </w:p>
        </w:tc>
        <w:tc>
          <w:tcPr>
            <w:tcW w:w="770" w:type="dxa"/>
            <w:tcBorders>
              <w:top w:val="nil"/>
              <w:left w:val="nil"/>
              <w:bottom w:val="single" w:color="auto" w:sz="4" w:space="0"/>
              <w:right w:val="single" w:color="auto" w:sz="4" w:space="0"/>
            </w:tcBorders>
            <w:noWrap/>
            <w:vAlign w:val="center"/>
          </w:tcPr>
          <w:p w14:paraId="623949FF">
            <w:pPr>
              <w:spacing w:line="360" w:lineRule="auto"/>
              <w:jc w:val="left"/>
              <w:rPr>
                <w:rFonts w:hint="eastAsia" w:ascii="仿宋" w:hAnsi="仿宋" w:eastAsia="仿宋" w:cs="仿宋"/>
                <w:i w:val="0"/>
                <w:iCs w:val="0"/>
                <w:sz w:val="24"/>
                <w:szCs w:val="22"/>
                <w:highlight w:val="none"/>
              </w:rPr>
            </w:pPr>
          </w:p>
        </w:tc>
        <w:tc>
          <w:tcPr>
            <w:tcW w:w="2362" w:type="dxa"/>
            <w:tcBorders>
              <w:top w:val="nil"/>
              <w:left w:val="nil"/>
              <w:bottom w:val="single" w:color="auto" w:sz="4" w:space="0"/>
              <w:right w:val="single" w:color="auto" w:sz="4" w:space="0"/>
            </w:tcBorders>
            <w:noWrap/>
            <w:vAlign w:val="center"/>
          </w:tcPr>
          <w:p w14:paraId="0D3BBC79">
            <w:pPr>
              <w:spacing w:line="360" w:lineRule="auto"/>
              <w:jc w:val="left"/>
              <w:rPr>
                <w:rFonts w:hint="eastAsia" w:ascii="仿宋" w:hAnsi="仿宋" w:eastAsia="仿宋" w:cs="仿宋"/>
                <w:i w:val="0"/>
                <w:iCs w:val="0"/>
                <w:sz w:val="24"/>
                <w:szCs w:val="22"/>
                <w:highlight w:val="none"/>
              </w:rPr>
            </w:pPr>
          </w:p>
        </w:tc>
        <w:tc>
          <w:tcPr>
            <w:tcW w:w="1639" w:type="dxa"/>
            <w:tcBorders>
              <w:top w:val="nil"/>
              <w:left w:val="nil"/>
              <w:bottom w:val="single" w:color="auto" w:sz="4" w:space="0"/>
              <w:right w:val="single" w:color="auto" w:sz="4" w:space="0"/>
            </w:tcBorders>
            <w:noWrap/>
            <w:vAlign w:val="center"/>
          </w:tcPr>
          <w:p w14:paraId="5FF7DAB0">
            <w:pPr>
              <w:spacing w:line="360" w:lineRule="auto"/>
              <w:jc w:val="left"/>
              <w:rPr>
                <w:rFonts w:hint="eastAsia" w:ascii="仿宋" w:hAnsi="仿宋" w:eastAsia="仿宋" w:cs="仿宋"/>
                <w:i w:val="0"/>
                <w:iCs w:val="0"/>
                <w:sz w:val="24"/>
                <w:szCs w:val="22"/>
                <w:highlight w:val="none"/>
              </w:rPr>
            </w:pPr>
          </w:p>
        </w:tc>
        <w:tc>
          <w:tcPr>
            <w:tcW w:w="730" w:type="dxa"/>
            <w:tcBorders>
              <w:top w:val="nil"/>
              <w:left w:val="nil"/>
              <w:bottom w:val="single" w:color="auto" w:sz="4" w:space="0"/>
              <w:right w:val="single" w:color="auto" w:sz="4" w:space="0"/>
            </w:tcBorders>
            <w:noWrap/>
            <w:vAlign w:val="bottom"/>
          </w:tcPr>
          <w:p w14:paraId="15BBD410">
            <w:pPr>
              <w:spacing w:line="360" w:lineRule="auto"/>
              <w:jc w:val="left"/>
              <w:rPr>
                <w:rFonts w:hint="eastAsia" w:ascii="仿宋" w:hAnsi="仿宋" w:eastAsia="仿宋" w:cs="仿宋"/>
                <w:i w:val="0"/>
                <w:iCs w:val="0"/>
                <w:sz w:val="24"/>
                <w:szCs w:val="22"/>
                <w:highlight w:val="none"/>
              </w:rPr>
            </w:pPr>
          </w:p>
        </w:tc>
      </w:tr>
      <w:tr w14:paraId="10A36D11">
        <w:tblPrEx>
          <w:tblCellMar>
            <w:top w:w="0" w:type="dxa"/>
            <w:left w:w="108" w:type="dxa"/>
            <w:bottom w:w="0" w:type="dxa"/>
            <w:right w:w="108" w:type="dxa"/>
          </w:tblCellMar>
        </w:tblPrEx>
        <w:trPr>
          <w:trHeight w:val="281" w:hRule="atLeast"/>
        </w:trPr>
        <w:tc>
          <w:tcPr>
            <w:tcW w:w="823" w:type="dxa"/>
            <w:tcBorders>
              <w:top w:val="nil"/>
              <w:left w:val="single" w:color="auto" w:sz="4" w:space="0"/>
              <w:bottom w:val="single" w:color="auto" w:sz="4" w:space="0"/>
              <w:right w:val="single" w:color="auto" w:sz="4" w:space="0"/>
            </w:tcBorders>
            <w:noWrap/>
            <w:vAlign w:val="bottom"/>
          </w:tcPr>
          <w:p w14:paraId="1B8613C5">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1</w:t>
            </w:r>
          </w:p>
        </w:tc>
        <w:tc>
          <w:tcPr>
            <w:tcW w:w="1015" w:type="dxa"/>
            <w:tcBorders>
              <w:top w:val="nil"/>
              <w:left w:val="nil"/>
              <w:bottom w:val="single" w:color="auto" w:sz="4" w:space="0"/>
              <w:right w:val="single" w:color="auto" w:sz="4" w:space="0"/>
            </w:tcBorders>
            <w:noWrap/>
            <w:vAlign w:val="bottom"/>
          </w:tcPr>
          <w:p w14:paraId="75C3075A">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183" w:type="dxa"/>
            <w:tcBorders>
              <w:top w:val="nil"/>
              <w:left w:val="nil"/>
              <w:bottom w:val="single" w:color="auto" w:sz="4" w:space="0"/>
              <w:right w:val="single" w:color="auto" w:sz="4" w:space="0"/>
            </w:tcBorders>
            <w:noWrap/>
            <w:vAlign w:val="bottom"/>
          </w:tcPr>
          <w:p w14:paraId="031D383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70" w:type="dxa"/>
            <w:tcBorders>
              <w:top w:val="nil"/>
              <w:left w:val="nil"/>
              <w:bottom w:val="single" w:color="auto" w:sz="4" w:space="0"/>
              <w:right w:val="single" w:color="auto" w:sz="4" w:space="0"/>
            </w:tcBorders>
            <w:noWrap/>
            <w:vAlign w:val="bottom"/>
          </w:tcPr>
          <w:p w14:paraId="555F235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2362" w:type="dxa"/>
            <w:tcBorders>
              <w:top w:val="nil"/>
              <w:left w:val="nil"/>
              <w:bottom w:val="single" w:color="auto" w:sz="4" w:space="0"/>
              <w:right w:val="single" w:color="auto" w:sz="4" w:space="0"/>
            </w:tcBorders>
            <w:noWrap/>
            <w:vAlign w:val="bottom"/>
          </w:tcPr>
          <w:p w14:paraId="3DB638F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639" w:type="dxa"/>
            <w:tcBorders>
              <w:top w:val="nil"/>
              <w:left w:val="nil"/>
              <w:bottom w:val="single" w:color="auto" w:sz="4" w:space="0"/>
              <w:right w:val="single" w:color="auto" w:sz="4" w:space="0"/>
            </w:tcBorders>
            <w:noWrap/>
            <w:vAlign w:val="bottom"/>
          </w:tcPr>
          <w:p w14:paraId="1FEB859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30" w:type="dxa"/>
            <w:tcBorders>
              <w:top w:val="nil"/>
              <w:left w:val="nil"/>
              <w:bottom w:val="single" w:color="auto" w:sz="4" w:space="0"/>
              <w:right w:val="single" w:color="auto" w:sz="4" w:space="0"/>
            </w:tcBorders>
            <w:noWrap/>
            <w:vAlign w:val="bottom"/>
          </w:tcPr>
          <w:p w14:paraId="59FE37EF">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1C294AC3">
        <w:tblPrEx>
          <w:tblCellMar>
            <w:top w:w="0" w:type="dxa"/>
            <w:left w:w="108" w:type="dxa"/>
            <w:bottom w:w="0" w:type="dxa"/>
            <w:right w:w="108" w:type="dxa"/>
          </w:tblCellMar>
        </w:tblPrEx>
        <w:trPr>
          <w:trHeight w:val="280" w:hRule="atLeast"/>
        </w:trPr>
        <w:tc>
          <w:tcPr>
            <w:tcW w:w="823" w:type="dxa"/>
            <w:tcBorders>
              <w:top w:val="nil"/>
              <w:left w:val="single" w:color="auto" w:sz="4" w:space="0"/>
              <w:bottom w:val="single" w:color="auto" w:sz="4" w:space="0"/>
              <w:right w:val="single" w:color="auto" w:sz="4" w:space="0"/>
            </w:tcBorders>
            <w:noWrap/>
            <w:vAlign w:val="bottom"/>
          </w:tcPr>
          <w:p w14:paraId="75762D1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2</w:t>
            </w:r>
          </w:p>
        </w:tc>
        <w:tc>
          <w:tcPr>
            <w:tcW w:w="1015" w:type="dxa"/>
            <w:tcBorders>
              <w:top w:val="nil"/>
              <w:left w:val="nil"/>
              <w:bottom w:val="single" w:color="auto" w:sz="4" w:space="0"/>
              <w:right w:val="single" w:color="auto" w:sz="4" w:space="0"/>
            </w:tcBorders>
            <w:noWrap/>
            <w:vAlign w:val="bottom"/>
          </w:tcPr>
          <w:p w14:paraId="3E28F16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183" w:type="dxa"/>
            <w:tcBorders>
              <w:top w:val="nil"/>
              <w:left w:val="nil"/>
              <w:bottom w:val="single" w:color="auto" w:sz="4" w:space="0"/>
              <w:right w:val="single" w:color="auto" w:sz="4" w:space="0"/>
            </w:tcBorders>
            <w:noWrap/>
            <w:vAlign w:val="bottom"/>
          </w:tcPr>
          <w:p w14:paraId="3A4AAAA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70" w:type="dxa"/>
            <w:tcBorders>
              <w:top w:val="nil"/>
              <w:left w:val="nil"/>
              <w:bottom w:val="single" w:color="auto" w:sz="4" w:space="0"/>
              <w:right w:val="single" w:color="auto" w:sz="4" w:space="0"/>
            </w:tcBorders>
            <w:noWrap/>
            <w:vAlign w:val="bottom"/>
          </w:tcPr>
          <w:p w14:paraId="13C1D08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2362" w:type="dxa"/>
            <w:tcBorders>
              <w:top w:val="nil"/>
              <w:left w:val="nil"/>
              <w:bottom w:val="single" w:color="auto" w:sz="4" w:space="0"/>
              <w:right w:val="single" w:color="auto" w:sz="4" w:space="0"/>
            </w:tcBorders>
            <w:noWrap/>
            <w:vAlign w:val="bottom"/>
          </w:tcPr>
          <w:p w14:paraId="3BBEAA50">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639" w:type="dxa"/>
            <w:tcBorders>
              <w:top w:val="nil"/>
              <w:left w:val="nil"/>
              <w:bottom w:val="single" w:color="auto" w:sz="4" w:space="0"/>
              <w:right w:val="single" w:color="auto" w:sz="4" w:space="0"/>
            </w:tcBorders>
            <w:noWrap/>
            <w:vAlign w:val="bottom"/>
          </w:tcPr>
          <w:p w14:paraId="5F415E7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30" w:type="dxa"/>
            <w:tcBorders>
              <w:top w:val="nil"/>
              <w:left w:val="nil"/>
              <w:bottom w:val="single" w:color="auto" w:sz="4" w:space="0"/>
              <w:right w:val="single" w:color="auto" w:sz="4" w:space="0"/>
            </w:tcBorders>
            <w:noWrap/>
            <w:vAlign w:val="bottom"/>
          </w:tcPr>
          <w:p w14:paraId="0AF6655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2E9483DC">
        <w:tblPrEx>
          <w:tblCellMar>
            <w:top w:w="0" w:type="dxa"/>
            <w:left w:w="108" w:type="dxa"/>
            <w:bottom w:w="0" w:type="dxa"/>
            <w:right w:w="108" w:type="dxa"/>
          </w:tblCellMar>
        </w:tblPrEx>
        <w:trPr>
          <w:trHeight w:val="280" w:hRule="atLeast"/>
        </w:trPr>
        <w:tc>
          <w:tcPr>
            <w:tcW w:w="823" w:type="dxa"/>
            <w:tcBorders>
              <w:top w:val="nil"/>
              <w:left w:val="single" w:color="auto" w:sz="4" w:space="0"/>
              <w:bottom w:val="nil"/>
              <w:right w:val="single" w:color="auto" w:sz="4" w:space="0"/>
            </w:tcBorders>
            <w:noWrap/>
            <w:vAlign w:val="bottom"/>
          </w:tcPr>
          <w:p w14:paraId="52F942A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3</w:t>
            </w:r>
          </w:p>
        </w:tc>
        <w:tc>
          <w:tcPr>
            <w:tcW w:w="1015" w:type="dxa"/>
            <w:tcBorders>
              <w:top w:val="nil"/>
              <w:left w:val="nil"/>
              <w:bottom w:val="nil"/>
              <w:right w:val="single" w:color="auto" w:sz="4" w:space="0"/>
            </w:tcBorders>
            <w:noWrap/>
            <w:vAlign w:val="bottom"/>
          </w:tcPr>
          <w:p w14:paraId="3417971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其他</w:t>
            </w:r>
          </w:p>
        </w:tc>
        <w:tc>
          <w:tcPr>
            <w:tcW w:w="1183" w:type="dxa"/>
            <w:tcBorders>
              <w:top w:val="nil"/>
              <w:left w:val="nil"/>
              <w:bottom w:val="nil"/>
              <w:right w:val="single" w:color="auto" w:sz="4" w:space="0"/>
            </w:tcBorders>
            <w:noWrap/>
            <w:vAlign w:val="bottom"/>
          </w:tcPr>
          <w:p w14:paraId="32F69D08">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70" w:type="dxa"/>
            <w:tcBorders>
              <w:top w:val="nil"/>
              <w:left w:val="nil"/>
              <w:bottom w:val="nil"/>
              <w:right w:val="single" w:color="auto" w:sz="4" w:space="0"/>
            </w:tcBorders>
            <w:noWrap/>
            <w:vAlign w:val="bottom"/>
          </w:tcPr>
          <w:p w14:paraId="779763D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2362" w:type="dxa"/>
            <w:tcBorders>
              <w:top w:val="nil"/>
              <w:left w:val="nil"/>
              <w:bottom w:val="nil"/>
              <w:right w:val="single" w:color="auto" w:sz="4" w:space="0"/>
            </w:tcBorders>
            <w:noWrap/>
            <w:vAlign w:val="bottom"/>
          </w:tcPr>
          <w:p w14:paraId="22B58E18">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1639" w:type="dxa"/>
            <w:tcBorders>
              <w:top w:val="nil"/>
              <w:left w:val="nil"/>
              <w:bottom w:val="nil"/>
              <w:right w:val="single" w:color="auto" w:sz="4" w:space="0"/>
            </w:tcBorders>
            <w:noWrap/>
            <w:vAlign w:val="bottom"/>
          </w:tcPr>
          <w:p w14:paraId="70D2D0C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c>
          <w:tcPr>
            <w:tcW w:w="730" w:type="dxa"/>
            <w:tcBorders>
              <w:top w:val="nil"/>
              <w:left w:val="nil"/>
              <w:bottom w:val="nil"/>
              <w:right w:val="single" w:color="auto" w:sz="4" w:space="0"/>
            </w:tcBorders>
            <w:noWrap/>
            <w:vAlign w:val="bottom"/>
          </w:tcPr>
          <w:p w14:paraId="046E1E44">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　</w:t>
            </w:r>
          </w:p>
        </w:tc>
      </w:tr>
      <w:tr w14:paraId="46D68519">
        <w:tblPrEx>
          <w:tblCellMar>
            <w:top w:w="0" w:type="dxa"/>
            <w:left w:w="108" w:type="dxa"/>
            <w:bottom w:w="0" w:type="dxa"/>
            <w:right w:w="108" w:type="dxa"/>
          </w:tblCellMar>
        </w:tblPrEx>
        <w:trPr>
          <w:trHeight w:val="280" w:hRule="atLeast"/>
        </w:trPr>
        <w:tc>
          <w:tcPr>
            <w:tcW w:w="823" w:type="dxa"/>
            <w:tcBorders>
              <w:top w:val="nil"/>
              <w:left w:val="single" w:color="auto" w:sz="4" w:space="0"/>
              <w:bottom w:val="single" w:color="auto" w:sz="4" w:space="0"/>
              <w:right w:val="single" w:color="auto" w:sz="4" w:space="0"/>
            </w:tcBorders>
            <w:noWrap/>
            <w:vAlign w:val="bottom"/>
          </w:tcPr>
          <w:p w14:paraId="5C1A24B9">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w:t>
            </w:r>
          </w:p>
        </w:tc>
        <w:tc>
          <w:tcPr>
            <w:tcW w:w="1015" w:type="dxa"/>
            <w:tcBorders>
              <w:top w:val="nil"/>
              <w:left w:val="nil"/>
              <w:bottom w:val="single" w:color="auto" w:sz="4" w:space="0"/>
              <w:right w:val="single" w:color="auto" w:sz="4" w:space="0"/>
            </w:tcBorders>
            <w:noWrap/>
            <w:vAlign w:val="bottom"/>
          </w:tcPr>
          <w:p w14:paraId="1090D877">
            <w:pPr>
              <w:spacing w:line="360" w:lineRule="auto"/>
              <w:jc w:val="left"/>
              <w:rPr>
                <w:rFonts w:hint="eastAsia" w:ascii="仿宋" w:hAnsi="仿宋" w:eastAsia="仿宋" w:cs="仿宋"/>
                <w:i w:val="0"/>
                <w:iCs w:val="0"/>
                <w:sz w:val="24"/>
                <w:szCs w:val="22"/>
                <w:highlight w:val="none"/>
              </w:rPr>
            </w:pPr>
          </w:p>
        </w:tc>
        <w:tc>
          <w:tcPr>
            <w:tcW w:w="1183" w:type="dxa"/>
            <w:tcBorders>
              <w:top w:val="nil"/>
              <w:left w:val="nil"/>
              <w:bottom w:val="single" w:color="auto" w:sz="4" w:space="0"/>
              <w:right w:val="single" w:color="auto" w:sz="4" w:space="0"/>
            </w:tcBorders>
            <w:noWrap/>
            <w:vAlign w:val="bottom"/>
          </w:tcPr>
          <w:p w14:paraId="59E62616">
            <w:pPr>
              <w:spacing w:line="360" w:lineRule="auto"/>
              <w:jc w:val="left"/>
              <w:rPr>
                <w:rFonts w:hint="eastAsia" w:ascii="仿宋" w:hAnsi="仿宋" w:eastAsia="仿宋" w:cs="仿宋"/>
                <w:i w:val="0"/>
                <w:iCs w:val="0"/>
                <w:sz w:val="24"/>
                <w:szCs w:val="22"/>
                <w:highlight w:val="none"/>
              </w:rPr>
            </w:pPr>
          </w:p>
        </w:tc>
        <w:tc>
          <w:tcPr>
            <w:tcW w:w="770" w:type="dxa"/>
            <w:tcBorders>
              <w:top w:val="nil"/>
              <w:left w:val="nil"/>
              <w:bottom w:val="single" w:color="auto" w:sz="4" w:space="0"/>
              <w:right w:val="single" w:color="auto" w:sz="4" w:space="0"/>
            </w:tcBorders>
            <w:noWrap/>
            <w:vAlign w:val="bottom"/>
          </w:tcPr>
          <w:p w14:paraId="2B24C133">
            <w:pPr>
              <w:spacing w:line="360" w:lineRule="auto"/>
              <w:jc w:val="left"/>
              <w:rPr>
                <w:rFonts w:hint="eastAsia" w:ascii="仿宋" w:hAnsi="仿宋" w:eastAsia="仿宋" w:cs="仿宋"/>
                <w:i w:val="0"/>
                <w:iCs w:val="0"/>
                <w:sz w:val="24"/>
                <w:szCs w:val="22"/>
                <w:highlight w:val="none"/>
              </w:rPr>
            </w:pPr>
          </w:p>
        </w:tc>
        <w:tc>
          <w:tcPr>
            <w:tcW w:w="2362" w:type="dxa"/>
            <w:tcBorders>
              <w:top w:val="nil"/>
              <w:left w:val="nil"/>
              <w:bottom w:val="single" w:color="auto" w:sz="4" w:space="0"/>
              <w:right w:val="single" w:color="auto" w:sz="4" w:space="0"/>
            </w:tcBorders>
            <w:noWrap/>
            <w:vAlign w:val="bottom"/>
          </w:tcPr>
          <w:p w14:paraId="59E9B5C1">
            <w:pPr>
              <w:spacing w:line="360" w:lineRule="auto"/>
              <w:jc w:val="left"/>
              <w:rPr>
                <w:rFonts w:hint="eastAsia" w:ascii="仿宋" w:hAnsi="仿宋" w:eastAsia="仿宋" w:cs="仿宋"/>
                <w:i w:val="0"/>
                <w:iCs w:val="0"/>
                <w:sz w:val="24"/>
                <w:szCs w:val="22"/>
                <w:highlight w:val="none"/>
              </w:rPr>
            </w:pPr>
          </w:p>
        </w:tc>
        <w:tc>
          <w:tcPr>
            <w:tcW w:w="1639" w:type="dxa"/>
            <w:tcBorders>
              <w:top w:val="nil"/>
              <w:left w:val="nil"/>
              <w:bottom w:val="single" w:color="auto" w:sz="4" w:space="0"/>
              <w:right w:val="single" w:color="auto" w:sz="4" w:space="0"/>
            </w:tcBorders>
            <w:noWrap/>
            <w:vAlign w:val="bottom"/>
          </w:tcPr>
          <w:p w14:paraId="7A3F2563">
            <w:pPr>
              <w:spacing w:line="360" w:lineRule="auto"/>
              <w:jc w:val="left"/>
              <w:rPr>
                <w:rFonts w:hint="eastAsia" w:ascii="仿宋" w:hAnsi="仿宋" w:eastAsia="仿宋" w:cs="仿宋"/>
                <w:i w:val="0"/>
                <w:iCs w:val="0"/>
                <w:sz w:val="24"/>
                <w:szCs w:val="22"/>
                <w:highlight w:val="none"/>
              </w:rPr>
            </w:pPr>
          </w:p>
        </w:tc>
        <w:tc>
          <w:tcPr>
            <w:tcW w:w="730" w:type="dxa"/>
            <w:tcBorders>
              <w:top w:val="nil"/>
              <w:left w:val="nil"/>
              <w:bottom w:val="single" w:color="auto" w:sz="4" w:space="0"/>
              <w:right w:val="single" w:color="auto" w:sz="4" w:space="0"/>
            </w:tcBorders>
            <w:noWrap/>
            <w:vAlign w:val="bottom"/>
          </w:tcPr>
          <w:p w14:paraId="2A23F211">
            <w:pPr>
              <w:spacing w:line="360" w:lineRule="auto"/>
              <w:jc w:val="left"/>
              <w:rPr>
                <w:rFonts w:hint="eastAsia" w:ascii="仿宋" w:hAnsi="仿宋" w:eastAsia="仿宋" w:cs="仿宋"/>
                <w:i w:val="0"/>
                <w:iCs w:val="0"/>
                <w:sz w:val="24"/>
                <w:szCs w:val="22"/>
                <w:highlight w:val="none"/>
              </w:rPr>
            </w:pPr>
          </w:p>
        </w:tc>
      </w:tr>
    </w:tbl>
    <w:p w14:paraId="0214AEBC">
      <w:pPr>
        <w:spacing w:line="360" w:lineRule="auto"/>
        <w:jc w:val="left"/>
        <w:rPr>
          <w:rFonts w:hint="eastAsia" w:ascii="仿宋" w:hAnsi="仿宋" w:eastAsia="仿宋" w:cs="仿宋"/>
          <w:i w:val="0"/>
          <w:iCs w:val="0"/>
          <w:sz w:val="24"/>
          <w:szCs w:val="22"/>
          <w:highlight w:val="none"/>
        </w:rPr>
      </w:pPr>
    </w:p>
    <w:p w14:paraId="2E9D6E6D">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2.3 开源软件类</w:t>
      </w:r>
    </w:p>
    <w:p w14:paraId="21DF121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开源软件类是指软件中应用的开源组件。</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983"/>
        <w:gridCol w:w="721"/>
        <w:gridCol w:w="1415"/>
        <w:gridCol w:w="1415"/>
        <w:gridCol w:w="2248"/>
        <w:gridCol w:w="1099"/>
      </w:tblGrid>
      <w:tr w14:paraId="2333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noWrap/>
            <w:vAlign w:val="center"/>
          </w:tcPr>
          <w:p w14:paraId="54C3D5E8">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序号</w:t>
            </w:r>
          </w:p>
        </w:tc>
        <w:tc>
          <w:tcPr>
            <w:tcW w:w="577" w:type="pct"/>
            <w:noWrap/>
            <w:vAlign w:val="center"/>
          </w:tcPr>
          <w:p w14:paraId="6C50A4C3">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组件名称</w:t>
            </w:r>
          </w:p>
        </w:tc>
        <w:tc>
          <w:tcPr>
            <w:tcW w:w="423" w:type="pct"/>
            <w:noWrap/>
            <w:vAlign w:val="center"/>
          </w:tcPr>
          <w:p w14:paraId="19F6276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组件版本</w:t>
            </w:r>
          </w:p>
        </w:tc>
        <w:tc>
          <w:tcPr>
            <w:tcW w:w="830" w:type="pct"/>
            <w:noWrap w:val="0"/>
            <w:vAlign w:val="center"/>
          </w:tcPr>
          <w:p w14:paraId="12C46ADB">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组件厂商或托管组织</w:t>
            </w:r>
          </w:p>
        </w:tc>
        <w:tc>
          <w:tcPr>
            <w:tcW w:w="830" w:type="pct"/>
            <w:noWrap/>
            <w:vAlign w:val="center"/>
          </w:tcPr>
          <w:p w14:paraId="2BC2F27D">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组件来源链接</w:t>
            </w:r>
          </w:p>
        </w:tc>
        <w:tc>
          <w:tcPr>
            <w:tcW w:w="1319" w:type="pct"/>
            <w:noWrap/>
            <w:vAlign w:val="center"/>
          </w:tcPr>
          <w:p w14:paraId="3B6E4F1C">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依赖关系</w:t>
            </w:r>
          </w:p>
          <w:p w14:paraId="34BE1075">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w:t>
            </w:r>
            <w:r>
              <w:rPr>
                <w:rFonts w:hint="eastAsia" w:ascii="仿宋" w:hAnsi="仿宋" w:eastAsia="仿宋" w:cs="仿宋"/>
                <w:b/>
                <w:i w:val="0"/>
                <w:iCs w:val="0"/>
                <w:sz w:val="24"/>
                <w:szCs w:val="22"/>
                <w:highlight w:val="none"/>
              </w:rPr>
              <w:t>直接依赖</w:t>
            </w:r>
            <w:r>
              <w:rPr>
                <w:rFonts w:hint="eastAsia" w:ascii="仿宋" w:hAnsi="仿宋" w:eastAsia="仿宋" w:cs="仿宋"/>
                <w:i w:val="0"/>
                <w:iCs w:val="0"/>
                <w:sz w:val="24"/>
                <w:szCs w:val="22"/>
                <w:highlight w:val="none"/>
              </w:rPr>
              <w:t xml:space="preserve">-软件包直接使用的组件、 </w:t>
            </w:r>
            <w:r>
              <w:rPr>
                <w:rFonts w:hint="eastAsia" w:ascii="仿宋" w:hAnsi="仿宋" w:eastAsia="仿宋" w:cs="仿宋"/>
                <w:b/>
                <w:i w:val="0"/>
                <w:iCs w:val="0"/>
                <w:sz w:val="24"/>
                <w:szCs w:val="22"/>
                <w:highlight w:val="none"/>
              </w:rPr>
              <w:t>间接依赖</w:t>
            </w:r>
            <w:r>
              <w:rPr>
                <w:rFonts w:hint="eastAsia" w:ascii="仿宋" w:hAnsi="仿宋" w:eastAsia="仿宋" w:cs="仿宋"/>
                <w:i w:val="0"/>
                <w:iCs w:val="0"/>
                <w:sz w:val="24"/>
                <w:szCs w:val="22"/>
                <w:highlight w:val="none"/>
              </w:rPr>
              <w:t>-直接依赖的组件所依赖的组件）</w:t>
            </w:r>
          </w:p>
        </w:tc>
        <w:tc>
          <w:tcPr>
            <w:tcW w:w="645" w:type="pct"/>
            <w:noWrap/>
            <w:vAlign w:val="center"/>
          </w:tcPr>
          <w:p w14:paraId="3BA9A5E1">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许可证</w:t>
            </w:r>
          </w:p>
        </w:tc>
      </w:tr>
      <w:tr w14:paraId="2ED5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noWrap/>
            <w:vAlign w:val="center"/>
          </w:tcPr>
          <w:p w14:paraId="32F88FFE">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示例</w:t>
            </w:r>
          </w:p>
        </w:tc>
        <w:tc>
          <w:tcPr>
            <w:tcW w:w="577" w:type="pct"/>
            <w:noWrap/>
            <w:vAlign w:val="center"/>
          </w:tcPr>
          <w:p w14:paraId="0D5F9A5F">
            <w:pPr>
              <w:spacing w:line="360" w:lineRule="auto"/>
              <w:jc w:val="left"/>
              <w:rPr>
                <w:rFonts w:hint="eastAsia" w:ascii="仿宋" w:hAnsi="仿宋" w:eastAsia="仿宋" w:cs="仿宋"/>
                <w:i w:val="0"/>
                <w:iCs w:val="0"/>
                <w:sz w:val="24"/>
                <w:szCs w:val="22"/>
                <w:highlight w:val="none"/>
              </w:rPr>
            </w:pPr>
          </w:p>
        </w:tc>
        <w:tc>
          <w:tcPr>
            <w:tcW w:w="423" w:type="pct"/>
            <w:noWrap/>
            <w:vAlign w:val="center"/>
          </w:tcPr>
          <w:p w14:paraId="5E4781E2">
            <w:pPr>
              <w:spacing w:line="360" w:lineRule="auto"/>
              <w:jc w:val="left"/>
              <w:rPr>
                <w:rFonts w:hint="eastAsia" w:ascii="仿宋" w:hAnsi="仿宋" w:eastAsia="仿宋" w:cs="仿宋"/>
                <w:i w:val="0"/>
                <w:iCs w:val="0"/>
                <w:sz w:val="24"/>
                <w:szCs w:val="22"/>
                <w:highlight w:val="none"/>
              </w:rPr>
            </w:pPr>
          </w:p>
        </w:tc>
        <w:tc>
          <w:tcPr>
            <w:tcW w:w="830" w:type="pct"/>
            <w:noWrap w:val="0"/>
            <w:vAlign w:val="center"/>
          </w:tcPr>
          <w:p w14:paraId="6DB75A72">
            <w:pPr>
              <w:spacing w:line="360" w:lineRule="auto"/>
              <w:jc w:val="left"/>
              <w:rPr>
                <w:rFonts w:hint="eastAsia" w:ascii="仿宋" w:hAnsi="仿宋" w:eastAsia="仿宋" w:cs="仿宋"/>
                <w:i w:val="0"/>
                <w:iCs w:val="0"/>
                <w:sz w:val="24"/>
                <w:szCs w:val="22"/>
                <w:highlight w:val="none"/>
              </w:rPr>
            </w:pPr>
          </w:p>
        </w:tc>
        <w:tc>
          <w:tcPr>
            <w:tcW w:w="830" w:type="pct"/>
            <w:noWrap/>
            <w:vAlign w:val="center"/>
          </w:tcPr>
          <w:p w14:paraId="1F07C1AC">
            <w:pPr>
              <w:spacing w:line="360" w:lineRule="auto"/>
              <w:jc w:val="left"/>
              <w:rPr>
                <w:rFonts w:hint="eastAsia" w:ascii="仿宋" w:hAnsi="仿宋" w:eastAsia="仿宋" w:cs="仿宋"/>
                <w:i w:val="0"/>
                <w:iCs w:val="0"/>
                <w:sz w:val="24"/>
                <w:szCs w:val="22"/>
                <w:highlight w:val="none"/>
              </w:rPr>
            </w:pPr>
          </w:p>
        </w:tc>
        <w:tc>
          <w:tcPr>
            <w:tcW w:w="1319" w:type="pct"/>
            <w:noWrap/>
            <w:vAlign w:val="center"/>
          </w:tcPr>
          <w:p w14:paraId="31439018">
            <w:pPr>
              <w:spacing w:line="360" w:lineRule="auto"/>
              <w:jc w:val="left"/>
              <w:rPr>
                <w:rFonts w:hint="eastAsia" w:ascii="仿宋" w:hAnsi="仿宋" w:eastAsia="仿宋" w:cs="仿宋"/>
                <w:i w:val="0"/>
                <w:iCs w:val="0"/>
                <w:sz w:val="24"/>
                <w:szCs w:val="22"/>
                <w:highlight w:val="none"/>
              </w:rPr>
            </w:pPr>
          </w:p>
        </w:tc>
        <w:tc>
          <w:tcPr>
            <w:tcW w:w="645" w:type="pct"/>
            <w:noWrap/>
            <w:vAlign w:val="center"/>
          </w:tcPr>
          <w:p w14:paraId="121B69AE">
            <w:pPr>
              <w:spacing w:line="360" w:lineRule="auto"/>
              <w:jc w:val="left"/>
              <w:rPr>
                <w:rFonts w:hint="eastAsia" w:ascii="仿宋" w:hAnsi="仿宋" w:eastAsia="仿宋" w:cs="仿宋"/>
                <w:i w:val="0"/>
                <w:iCs w:val="0"/>
                <w:sz w:val="24"/>
                <w:szCs w:val="22"/>
                <w:highlight w:val="none"/>
              </w:rPr>
            </w:pPr>
          </w:p>
        </w:tc>
      </w:tr>
      <w:tr w14:paraId="07DF8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noWrap/>
            <w:vAlign w:val="center"/>
          </w:tcPr>
          <w:p w14:paraId="1A217482">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1</w:t>
            </w:r>
          </w:p>
        </w:tc>
        <w:tc>
          <w:tcPr>
            <w:tcW w:w="577" w:type="pct"/>
            <w:noWrap/>
            <w:vAlign w:val="center"/>
          </w:tcPr>
          <w:p w14:paraId="38241A77">
            <w:pPr>
              <w:spacing w:line="360" w:lineRule="auto"/>
              <w:jc w:val="left"/>
              <w:rPr>
                <w:rFonts w:hint="eastAsia" w:ascii="仿宋" w:hAnsi="仿宋" w:eastAsia="仿宋" w:cs="仿宋"/>
                <w:i w:val="0"/>
                <w:iCs w:val="0"/>
                <w:sz w:val="24"/>
                <w:szCs w:val="22"/>
                <w:highlight w:val="none"/>
              </w:rPr>
            </w:pPr>
          </w:p>
        </w:tc>
        <w:tc>
          <w:tcPr>
            <w:tcW w:w="423" w:type="pct"/>
            <w:noWrap/>
            <w:vAlign w:val="center"/>
          </w:tcPr>
          <w:p w14:paraId="5BBBFB1B">
            <w:pPr>
              <w:spacing w:line="360" w:lineRule="auto"/>
              <w:jc w:val="left"/>
              <w:rPr>
                <w:rFonts w:hint="eastAsia" w:ascii="仿宋" w:hAnsi="仿宋" w:eastAsia="仿宋" w:cs="仿宋"/>
                <w:i w:val="0"/>
                <w:iCs w:val="0"/>
                <w:sz w:val="24"/>
                <w:szCs w:val="22"/>
                <w:highlight w:val="none"/>
              </w:rPr>
            </w:pPr>
          </w:p>
        </w:tc>
        <w:tc>
          <w:tcPr>
            <w:tcW w:w="830" w:type="pct"/>
            <w:noWrap w:val="0"/>
            <w:vAlign w:val="center"/>
          </w:tcPr>
          <w:p w14:paraId="11993D84">
            <w:pPr>
              <w:spacing w:line="360" w:lineRule="auto"/>
              <w:jc w:val="left"/>
              <w:rPr>
                <w:rFonts w:hint="eastAsia" w:ascii="仿宋" w:hAnsi="仿宋" w:eastAsia="仿宋" w:cs="仿宋"/>
                <w:i w:val="0"/>
                <w:iCs w:val="0"/>
                <w:sz w:val="24"/>
                <w:szCs w:val="22"/>
                <w:highlight w:val="none"/>
              </w:rPr>
            </w:pPr>
          </w:p>
        </w:tc>
        <w:tc>
          <w:tcPr>
            <w:tcW w:w="830" w:type="pct"/>
            <w:noWrap/>
            <w:vAlign w:val="center"/>
          </w:tcPr>
          <w:p w14:paraId="5C7AB9C2">
            <w:pPr>
              <w:spacing w:line="360" w:lineRule="auto"/>
              <w:jc w:val="left"/>
              <w:rPr>
                <w:rFonts w:hint="eastAsia" w:ascii="仿宋" w:hAnsi="仿宋" w:eastAsia="仿宋" w:cs="仿宋"/>
                <w:i w:val="0"/>
                <w:iCs w:val="0"/>
                <w:sz w:val="24"/>
                <w:szCs w:val="22"/>
                <w:highlight w:val="none"/>
              </w:rPr>
            </w:pPr>
          </w:p>
        </w:tc>
        <w:tc>
          <w:tcPr>
            <w:tcW w:w="1319" w:type="pct"/>
            <w:noWrap/>
            <w:vAlign w:val="center"/>
          </w:tcPr>
          <w:p w14:paraId="2FE675C4">
            <w:pPr>
              <w:spacing w:line="360" w:lineRule="auto"/>
              <w:jc w:val="left"/>
              <w:rPr>
                <w:rFonts w:hint="eastAsia" w:ascii="仿宋" w:hAnsi="仿宋" w:eastAsia="仿宋" w:cs="仿宋"/>
                <w:i w:val="0"/>
                <w:iCs w:val="0"/>
                <w:sz w:val="24"/>
                <w:szCs w:val="22"/>
                <w:highlight w:val="none"/>
              </w:rPr>
            </w:pPr>
          </w:p>
        </w:tc>
        <w:tc>
          <w:tcPr>
            <w:tcW w:w="645" w:type="pct"/>
            <w:noWrap/>
            <w:vAlign w:val="center"/>
          </w:tcPr>
          <w:p w14:paraId="33B1F024">
            <w:pPr>
              <w:spacing w:line="360" w:lineRule="auto"/>
              <w:jc w:val="left"/>
              <w:rPr>
                <w:rFonts w:hint="eastAsia" w:ascii="仿宋" w:hAnsi="仿宋" w:eastAsia="仿宋" w:cs="仿宋"/>
                <w:i w:val="0"/>
                <w:iCs w:val="0"/>
                <w:sz w:val="24"/>
                <w:szCs w:val="22"/>
                <w:highlight w:val="none"/>
              </w:rPr>
            </w:pPr>
          </w:p>
        </w:tc>
      </w:tr>
      <w:tr w14:paraId="6E58C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7B2950A7">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2</w:t>
            </w:r>
          </w:p>
        </w:tc>
        <w:tc>
          <w:tcPr>
            <w:tcW w:w="577" w:type="pct"/>
            <w:noWrap/>
            <w:vAlign w:val="center"/>
          </w:tcPr>
          <w:p w14:paraId="6B30A2E0">
            <w:pPr>
              <w:spacing w:line="360" w:lineRule="auto"/>
              <w:jc w:val="left"/>
              <w:rPr>
                <w:rFonts w:hint="eastAsia" w:ascii="仿宋" w:hAnsi="仿宋" w:eastAsia="仿宋" w:cs="仿宋"/>
                <w:i w:val="0"/>
                <w:iCs w:val="0"/>
                <w:sz w:val="24"/>
                <w:szCs w:val="22"/>
                <w:highlight w:val="none"/>
              </w:rPr>
            </w:pPr>
          </w:p>
        </w:tc>
        <w:tc>
          <w:tcPr>
            <w:tcW w:w="423" w:type="pct"/>
            <w:noWrap/>
            <w:vAlign w:val="center"/>
          </w:tcPr>
          <w:p w14:paraId="78DE9920">
            <w:pPr>
              <w:spacing w:line="360" w:lineRule="auto"/>
              <w:jc w:val="left"/>
              <w:rPr>
                <w:rFonts w:hint="eastAsia" w:ascii="仿宋" w:hAnsi="仿宋" w:eastAsia="仿宋" w:cs="仿宋"/>
                <w:i w:val="0"/>
                <w:iCs w:val="0"/>
                <w:sz w:val="24"/>
                <w:szCs w:val="22"/>
                <w:highlight w:val="none"/>
              </w:rPr>
            </w:pPr>
          </w:p>
        </w:tc>
        <w:tc>
          <w:tcPr>
            <w:tcW w:w="830" w:type="pct"/>
            <w:noWrap w:val="0"/>
            <w:vAlign w:val="center"/>
          </w:tcPr>
          <w:p w14:paraId="0241EC3C">
            <w:pPr>
              <w:spacing w:line="360" w:lineRule="auto"/>
              <w:jc w:val="left"/>
              <w:rPr>
                <w:rFonts w:hint="eastAsia" w:ascii="仿宋" w:hAnsi="仿宋" w:eastAsia="仿宋" w:cs="仿宋"/>
                <w:i w:val="0"/>
                <w:iCs w:val="0"/>
                <w:sz w:val="24"/>
                <w:szCs w:val="22"/>
                <w:highlight w:val="none"/>
              </w:rPr>
            </w:pPr>
          </w:p>
        </w:tc>
        <w:tc>
          <w:tcPr>
            <w:tcW w:w="830" w:type="pct"/>
            <w:noWrap/>
            <w:vAlign w:val="center"/>
          </w:tcPr>
          <w:p w14:paraId="7FC1BD7D">
            <w:pPr>
              <w:spacing w:line="360" w:lineRule="auto"/>
              <w:jc w:val="left"/>
              <w:rPr>
                <w:rFonts w:hint="eastAsia" w:ascii="仿宋" w:hAnsi="仿宋" w:eastAsia="仿宋" w:cs="仿宋"/>
                <w:i w:val="0"/>
                <w:iCs w:val="0"/>
                <w:sz w:val="24"/>
                <w:szCs w:val="22"/>
                <w:highlight w:val="none"/>
              </w:rPr>
            </w:pPr>
          </w:p>
        </w:tc>
        <w:tc>
          <w:tcPr>
            <w:tcW w:w="1319" w:type="pct"/>
            <w:noWrap/>
            <w:vAlign w:val="center"/>
          </w:tcPr>
          <w:p w14:paraId="4EE66756">
            <w:pPr>
              <w:spacing w:line="360" w:lineRule="auto"/>
              <w:jc w:val="left"/>
              <w:rPr>
                <w:rFonts w:hint="eastAsia" w:ascii="仿宋" w:hAnsi="仿宋" w:eastAsia="仿宋" w:cs="仿宋"/>
                <w:i w:val="0"/>
                <w:iCs w:val="0"/>
                <w:sz w:val="24"/>
                <w:szCs w:val="22"/>
                <w:highlight w:val="none"/>
              </w:rPr>
            </w:pPr>
          </w:p>
        </w:tc>
        <w:tc>
          <w:tcPr>
            <w:tcW w:w="645" w:type="pct"/>
            <w:noWrap/>
            <w:vAlign w:val="center"/>
          </w:tcPr>
          <w:p w14:paraId="40D37526">
            <w:pPr>
              <w:spacing w:line="360" w:lineRule="auto"/>
              <w:jc w:val="left"/>
              <w:rPr>
                <w:rFonts w:hint="eastAsia" w:ascii="仿宋" w:hAnsi="仿宋" w:eastAsia="仿宋" w:cs="仿宋"/>
                <w:i w:val="0"/>
                <w:iCs w:val="0"/>
                <w:sz w:val="24"/>
                <w:szCs w:val="22"/>
                <w:highlight w:val="none"/>
              </w:rPr>
            </w:pPr>
          </w:p>
        </w:tc>
      </w:tr>
      <w:tr w14:paraId="6369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noWrap/>
            <w:vAlign w:val="center"/>
          </w:tcPr>
          <w:p w14:paraId="212E924A">
            <w:pPr>
              <w:spacing w:line="360" w:lineRule="auto"/>
              <w:jc w:val="left"/>
              <w:rPr>
                <w:rFonts w:hint="eastAsia" w:ascii="仿宋" w:hAnsi="仿宋" w:eastAsia="仿宋" w:cs="仿宋"/>
                <w:i w:val="0"/>
                <w:iCs w:val="0"/>
                <w:sz w:val="24"/>
                <w:szCs w:val="22"/>
                <w:highlight w:val="none"/>
              </w:rPr>
            </w:pPr>
            <w:r>
              <w:rPr>
                <w:rFonts w:hint="eastAsia" w:ascii="仿宋" w:hAnsi="仿宋" w:eastAsia="仿宋" w:cs="仿宋"/>
                <w:i w:val="0"/>
                <w:iCs w:val="0"/>
                <w:sz w:val="24"/>
                <w:szCs w:val="22"/>
                <w:highlight w:val="none"/>
              </w:rPr>
              <w:t>…</w:t>
            </w:r>
          </w:p>
        </w:tc>
        <w:tc>
          <w:tcPr>
            <w:tcW w:w="577" w:type="pct"/>
            <w:noWrap/>
            <w:vAlign w:val="center"/>
          </w:tcPr>
          <w:p w14:paraId="601843E3">
            <w:pPr>
              <w:spacing w:line="360" w:lineRule="auto"/>
              <w:jc w:val="left"/>
              <w:rPr>
                <w:rFonts w:hint="eastAsia" w:ascii="仿宋" w:hAnsi="仿宋" w:eastAsia="仿宋" w:cs="仿宋"/>
                <w:i w:val="0"/>
                <w:iCs w:val="0"/>
                <w:sz w:val="24"/>
                <w:szCs w:val="22"/>
                <w:highlight w:val="none"/>
              </w:rPr>
            </w:pPr>
          </w:p>
        </w:tc>
        <w:tc>
          <w:tcPr>
            <w:tcW w:w="423" w:type="pct"/>
            <w:noWrap/>
            <w:vAlign w:val="center"/>
          </w:tcPr>
          <w:p w14:paraId="16315E4F">
            <w:pPr>
              <w:spacing w:line="360" w:lineRule="auto"/>
              <w:jc w:val="left"/>
              <w:rPr>
                <w:rFonts w:hint="eastAsia" w:ascii="仿宋" w:hAnsi="仿宋" w:eastAsia="仿宋" w:cs="仿宋"/>
                <w:i w:val="0"/>
                <w:iCs w:val="0"/>
                <w:sz w:val="24"/>
                <w:szCs w:val="22"/>
                <w:highlight w:val="none"/>
              </w:rPr>
            </w:pPr>
          </w:p>
        </w:tc>
        <w:tc>
          <w:tcPr>
            <w:tcW w:w="830" w:type="pct"/>
            <w:noWrap w:val="0"/>
            <w:vAlign w:val="center"/>
          </w:tcPr>
          <w:p w14:paraId="78433483">
            <w:pPr>
              <w:spacing w:line="360" w:lineRule="auto"/>
              <w:jc w:val="left"/>
              <w:rPr>
                <w:rFonts w:hint="eastAsia" w:ascii="仿宋" w:hAnsi="仿宋" w:eastAsia="仿宋" w:cs="仿宋"/>
                <w:i w:val="0"/>
                <w:iCs w:val="0"/>
                <w:sz w:val="24"/>
                <w:szCs w:val="22"/>
                <w:highlight w:val="none"/>
              </w:rPr>
            </w:pPr>
          </w:p>
        </w:tc>
        <w:tc>
          <w:tcPr>
            <w:tcW w:w="830" w:type="pct"/>
            <w:noWrap/>
            <w:vAlign w:val="center"/>
          </w:tcPr>
          <w:p w14:paraId="5EFCA07B">
            <w:pPr>
              <w:spacing w:line="360" w:lineRule="auto"/>
              <w:jc w:val="left"/>
              <w:rPr>
                <w:rFonts w:hint="eastAsia" w:ascii="仿宋" w:hAnsi="仿宋" w:eastAsia="仿宋" w:cs="仿宋"/>
                <w:i w:val="0"/>
                <w:iCs w:val="0"/>
                <w:sz w:val="24"/>
                <w:szCs w:val="22"/>
                <w:highlight w:val="none"/>
              </w:rPr>
            </w:pPr>
          </w:p>
        </w:tc>
        <w:tc>
          <w:tcPr>
            <w:tcW w:w="1319" w:type="pct"/>
            <w:noWrap/>
            <w:vAlign w:val="center"/>
          </w:tcPr>
          <w:p w14:paraId="3EC814ED">
            <w:pPr>
              <w:spacing w:line="360" w:lineRule="auto"/>
              <w:jc w:val="left"/>
              <w:rPr>
                <w:rFonts w:hint="eastAsia" w:ascii="仿宋" w:hAnsi="仿宋" w:eastAsia="仿宋" w:cs="仿宋"/>
                <w:i w:val="0"/>
                <w:iCs w:val="0"/>
                <w:sz w:val="24"/>
                <w:szCs w:val="22"/>
                <w:highlight w:val="none"/>
              </w:rPr>
            </w:pPr>
          </w:p>
        </w:tc>
        <w:tc>
          <w:tcPr>
            <w:tcW w:w="645" w:type="pct"/>
            <w:noWrap/>
            <w:vAlign w:val="center"/>
          </w:tcPr>
          <w:p w14:paraId="2C4FAA3D">
            <w:pPr>
              <w:spacing w:line="360" w:lineRule="auto"/>
              <w:jc w:val="left"/>
              <w:rPr>
                <w:rFonts w:hint="eastAsia" w:ascii="仿宋" w:hAnsi="仿宋" w:eastAsia="仿宋" w:cs="仿宋"/>
                <w:i w:val="0"/>
                <w:iCs w:val="0"/>
                <w:sz w:val="24"/>
                <w:szCs w:val="22"/>
                <w:highlight w:val="none"/>
              </w:rPr>
            </w:pPr>
          </w:p>
        </w:tc>
      </w:tr>
    </w:tbl>
    <w:p w14:paraId="54B81EFB">
      <w:pPr>
        <w:spacing w:line="360" w:lineRule="auto"/>
        <w:jc w:val="left"/>
        <w:rPr>
          <w:rFonts w:hint="eastAsia" w:ascii="仿宋" w:hAnsi="仿宋" w:eastAsia="仿宋" w:cs="仿宋"/>
          <w:b/>
          <w:i w:val="0"/>
          <w:iCs w:val="0"/>
          <w:sz w:val="24"/>
          <w:szCs w:val="22"/>
          <w:highlight w:val="none"/>
        </w:rPr>
      </w:pPr>
      <w:r>
        <w:rPr>
          <w:rFonts w:hint="eastAsia" w:ascii="仿宋" w:hAnsi="仿宋" w:eastAsia="仿宋" w:cs="仿宋"/>
          <w:b/>
          <w:i w:val="0"/>
          <w:iCs w:val="0"/>
          <w:sz w:val="24"/>
          <w:szCs w:val="22"/>
          <w:highlight w:val="none"/>
        </w:rPr>
        <w:t>三、合法获取开发工具、开源软件、第三方软件使用权的证明材料</w:t>
      </w:r>
    </w:p>
    <w:p w14:paraId="2FCAD961">
      <w:pPr>
        <w:spacing w:line="360" w:lineRule="exact"/>
        <w:jc w:val="both"/>
        <w:rPr>
          <w:rFonts w:hint="default" w:ascii="仿宋" w:hAnsi="仿宋" w:eastAsia="仿宋" w:cs="Times New Roman"/>
          <w:b/>
          <w:bCs/>
          <w:sz w:val="24"/>
          <w:lang w:val="en-US" w:eastAsia="zh-CN"/>
        </w:rPr>
      </w:pPr>
      <w:r>
        <w:rPr>
          <w:rFonts w:ascii="仿宋" w:hAnsi="仿宋" w:eastAsia="仿宋" w:cs="Times New Roman"/>
          <w:color w:val="000000"/>
        </w:rPr>
        <w:br w:type="page"/>
      </w:r>
      <w:r>
        <w:rPr>
          <w:rFonts w:hint="eastAsia" w:ascii="仿宋" w:hAnsi="仿宋" w:eastAsia="仿宋" w:cs="Times New Roman"/>
          <w:b/>
          <w:bCs/>
          <w:sz w:val="24"/>
          <w:lang w:val="en-US" w:eastAsia="zh-CN"/>
        </w:rPr>
        <w:t>附件五</w:t>
      </w:r>
    </w:p>
    <w:p w14:paraId="4D90901B">
      <w:pPr>
        <w:spacing w:line="360" w:lineRule="exact"/>
        <w:jc w:val="center"/>
        <w:rPr>
          <w:rFonts w:hint="eastAsia" w:ascii="仿宋" w:hAnsi="仿宋" w:eastAsia="仿宋" w:cs="Times New Roman"/>
          <w:b/>
          <w:sz w:val="28"/>
          <w:szCs w:val="28"/>
        </w:rPr>
      </w:pPr>
      <w:r>
        <w:rPr>
          <w:rFonts w:hint="eastAsia" w:ascii="仿宋" w:hAnsi="仿宋" w:eastAsia="仿宋" w:cs="Times New Roman"/>
          <w:b/>
          <w:sz w:val="28"/>
          <w:szCs w:val="28"/>
        </w:rPr>
        <w:t>保密承诺函</w:t>
      </w:r>
    </w:p>
    <w:p w14:paraId="7EFA1AE9">
      <w:pPr>
        <w:spacing w:line="360" w:lineRule="exact"/>
        <w:rPr>
          <w:rFonts w:hint="eastAsia" w:ascii="仿宋" w:hAnsi="仿宋" w:eastAsia="仿宋" w:cs="Times New Roman"/>
          <w:sz w:val="24"/>
        </w:rPr>
      </w:pPr>
      <w:r>
        <w:rPr>
          <w:rFonts w:hint="eastAsia" w:ascii="仿宋" w:hAnsi="仿宋" w:eastAsia="仿宋" w:cs="Times New Roman"/>
          <w:sz w:val="24"/>
        </w:rPr>
        <w:t xml:space="preserve"> </w:t>
      </w:r>
    </w:p>
    <w:p w14:paraId="1BA59652">
      <w:pPr>
        <w:spacing w:line="360" w:lineRule="exact"/>
        <w:rPr>
          <w:rFonts w:hint="eastAsia" w:ascii="仿宋" w:hAnsi="仿宋" w:eastAsia="仿宋" w:cs="Times New Roman"/>
          <w:sz w:val="24"/>
          <w:lang w:eastAsia="zh-CN"/>
        </w:rPr>
      </w:pPr>
      <w:r>
        <w:rPr>
          <w:rFonts w:hint="eastAsia" w:ascii="仿宋" w:hAnsi="仿宋" w:eastAsia="仿宋" w:cs="Times New Roman"/>
          <w:sz w:val="24"/>
        </w:rPr>
        <w:t>中国电信股份有限公司遵义分公司</w:t>
      </w:r>
      <w:r>
        <w:rPr>
          <w:rFonts w:hint="eastAsia" w:ascii="仿宋" w:hAnsi="仿宋" w:eastAsia="仿宋" w:cs="Times New Roman"/>
          <w:sz w:val="24"/>
          <w:lang w:eastAsia="zh-CN"/>
        </w:rPr>
        <w:t>：</w:t>
      </w:r>
    </w:p>
    <w:p w14:paraId="5902657C">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本单位郑重承诺遵守本承诺书的有关条款，如有违反本承诺书有关条款的行为，本单位承担由此带来的一切民事、行政和刑事责任。</w:t>
      </w:r>
    </w:p>
    <w:p w14:paraId="43F3EAF7">
      <w:pPr>
        <w:spacing w:line="360" w:lineRule="exact"/>
        <w:ind w:left="-1" w:firstLine="480"/>
        <w:jc w:val="left"/>
        <w:rPr>
          <w:rFonts w:hint="eastAsia" w:ascii="仿宋" w:hAnsi="仿宋" w:eastAsia="仿宋" w:cs="Times New Roman"/>
          <w:sz w:val="24"/>
        </w:rPr>
      </w:pPr>
      <w:r>
        <w:rPr>
          <w:rFonts w:hint="eastAsia" w:ascii="仿宋" w:hAnsi="仿宋" w:eastAsia="仿宋" w:cs="Times New Roman"/>
          <w:sz w:val="24"/>
        </w:rPr>
        <w:t>本单位对贵单位在</w:t>
      </w:r>
      <w:r>
        <w:rPr>
          <w:rFonts w:hint="eastAsia" w:ascii="仿宋" w:hAnsi="仿宋" w:eastAsia="仿宋" w:cs="Times New Roman"/>
          <w:sz w:val="24"/>
          <w:u w:val="single"/>
        </w:rPr>
        <w:t>2025年中国电信遵义分公司湄潭县中西医结合医院床旁结算系统开发服务采购</w:t>
      </w:r>
      <w:r>
        <w:rPr>
          <w:rFonts w:hint="eastAsia" w:ascii="仿宋" w:hAnsi="仿宋" w:eastAsia="仿宋" w:cs="Times New Roman"/>
          <w:sz w:val="24"/>
        </w:rPr>
        <w:t>项目合作过程中已经或将要向本单位提供或披露（或本单位可能获悉）贵单位的秘密性、专有性或保密性信息（以上信息合称“保密信息”，本项目中具体指：</w:t>
      </w:r>
      <w:r>
        <w:rPr>
          <w:rFonts w:hint="eastAsia" w:ascii="仿宋" w:hAnsi="仿宋" w:eastAsia="仿宋" w:cs="Times New Roman"/>
          <w:sz w:val="24"/>
          <w:u w:val="none"/>
        </w:rPr>
        <w:t>乙方对甲方提供的所有资料以及在本合同签订、履行过程中所接触到的甲方及其关联公司的商业秘密、技术资料、客户信息等资料和信息等）负有保密义务。该保密信息仅用于本单位</w:t>
      </w:r>
      <w:r>
        <w:rPr>
          <w:rFonts w:hint="eastAsia" w:ascii="仿宋" w:hAnsi="仿宋" w:eastAsia="仿宋" w:cs="Times New Roman"/>
          <w:sz w:val="24"/>
        </w:rPr>
        <w:t>与贵公司合作项目有关的用途，不将保密信息用于项目以外的任何用途。</w:t>
      </w:r>
    </w:p>
    <w:p w14:paraId="49B7CCE1">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二、本单位承诺不对保密信息进行缓存、窃取、泄露、滥用、非法向他人提供。未经贵单位同意，本单位不对保密信息进行复制，不利用保密信息进行新的研究或开发，不对保密信息进行加工还原成原始数据。本单位对本承诺函签订及项目履行过程中依法获得的个人信息和重要数据，依法在中国境内存储，且不向中国境外提供。</w:t>
      </w:r>
    </w:p>
    <w:p w14:paraId="35C930D2">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三、对保密信息在本单位期间发生的以下事项承担全部责任，因此造成贵单位损失的，本单位负责赔偿：</w:t>
      </w:r>
    </w:p>
    <w:p w14:paraId="798DCBA7">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1.保密信息被盗、泄露及/或毁损、灭失。</w:t>
      </w:r>
    </w:p>
    <w:p w14:paraId="2CDF2988">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2.任何本单位的雇员（包括但不限于现有雇员及从前雇员）、股东、董事、顾问和/或咨询人员等对保密信息未经授权的披露。</w:t>
      </w:r>
    </w:p>
    <w:p w14:paraId="55C573BD">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四、本单位承诺对保密信息按本承诺函约定予以保密，并至少采取不低于贵单位对数据安全保护的相关技术规范要求的保护手段进行保密。</w:t>
      </w:r>
    </w:p>
    <w:p w14:paraId="773EEECB">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五、本单位的雇员、股东、董事、顾问和/或咨询人员为执行项目且符合贵单位利益的目的确实必须知悉保密信息的，在知悉该保密信息前必须经贵单位同意，且本单位应向上述人员说明保密信息的保密性及其应承担的义务，保证上述人员同意接受本承诺函条款的约束，并对上述人员的保密行为进行有效的监督管理。本单位如发现保密信息泄露，应采取有效措施防止泄密进一步扩大，并及时告知贵单位。</w:t>
      </w:r>
    </w:p>
    <w:p w14:paraId="216A50F6">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六、项目终止后，本单位将承载保密信息的介质原件及复制件全部返还贵单位，最迟不超过贵单位发出交还通知之日起[三十]日。</w:t>
      </w:r>
    </w:p>
    <w:p w14:paraId="6E802046">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七、上述限制条款不适用于以下情况：</w:t>
      </w:r>
    </w:p>
    <w:p w14:paraId="3604C1A3">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1.在依本承诺函披露之时，该保密信息已以合法方式属本单位所有或由本单位知悉。</w:t>
      </w:r>
    </w:p>
    <w:p w14:paraId="179CE3A1">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2.在依本承诺函披露之时，该保密信息已经公开或能从公开领域获得。</w:t>
      </w:r>
    </w:p>
    <w:p w14:paraId="10E8FD9F">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3.保密信息是本单位从没有违反对贵单位负有保密或不披露义务的人合法取得的。</w:t>
      </w:r>
    </w:p>
    <w:p w14:paraId="79AF0A2A">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4.该保密信息是本单位或其关联或附属公司独立开发，而且未从贵单位或其关联或附属公司披露或提供的信息中获益。</w:t>
      </w:r>
    </w:p>
    <w:p w14:paraId="795DB60C">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5.经贵单位书面同意对外披露，但仅限于贵单位书面同意的范围、方式且遵循书面同意中规定的其他前提条件。</w:t>
      </w:r>
    </w:p>
    <w:p w14:paraId="03E15075">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6.本单位应法律、行政法规要求披露的信息（通过口头提问、询问、要求资料或文件、传唤、民事或刑事调查或其他程序披露保密信息）。</w:t>
      </w:r>
    </w:p>
    <w:p w14:paraId="0DFCE92E">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以本条中5、6为依据作出披露的，应至少于实际作出披露行为前[五]个工作日通知贵单位，说明其拟根据上述约定披露有关的保密信息，并就披露对象和披露范围、方式等作出说明。</w:t>
      </w:r>
    </w:p>
    <w:p w14:paraId="64929929">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八、如果本单位得知第三方获得任何保密信息，则及时书面通知贵单位，并向贵单位提供掌握的所有相关情况。</w:t>
      </w:r>
    </w:p>
    <w:p w14:paraId="10F9C2FD">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九、对于本承诺函签订及履行过程中、项目的商谈及合作过程中所接触到的贵单位关联公司的保密信息，本单位则依据本承诺函约定履行保密义务、承担责任。</w:t>
      </w:r>
    </w:p>
    <w:p w14:paraId="76D26D00">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十、本承诺函有效期至本单位与贵单位合作项目终止后10年或者至贵单位公布保密信息时止。</w:t>
      </w:r>
    </w:p>
    <w:p w14:paraId="67789BB0">
      <w:pPr>
        <w:spacing w:line="360" w:lineRule="exact"/>
        <w:ind w:firstLine="482" w:firstLineChars="200"/>
        <w:rPr>
          <w:rFonts w:hint="eastAsia" w:ascii="仿宋" w:hAnsi="仿宋" w:eastAsia="仿宋" w:cs="Times New Roman"/>
          <w:sz w:val="24"/>
        </w:rPr>
      </w:pPr>
      <w:r>
        <w:rPr>
          <w:rFonts w:hint="eastAsia" w:ascii="仿宋" w:hAnsi="仿宋" w:eastAsia="仿宋" w:cs="Times New Roman"/>
          <w:b/>
          <w:sz w:val="24"/>
        </w:rPr>
        <w:t>十一、</w:t>
      </w:r>
      <w:r>
        <w:rPr>
          <w:rFonts w:hint="eastAsia" w:ascii="仿宋" w:hAnsi="仿宋" w:eastAsia="仿宋" w:cs="Times New Roman"/>
          <w:sz w:val="24"/>
        </w:rPr>
        <w:t>若因本单位未履行或未完全履行上述承诺事项给贵单位造成的一切损失，包括但不限于贵单位因调查违约行为而支付的合理费用，本单位承诺予以赔偿。</w:t>
      </w:r>
    </w:p>
    <w:p w14:paraId="2A1D7996">
      <w:pPr>
        <w:spacing w:line="360" w:lineRule="exact"/>
        <w:ind w:firstLine="480" w:firstLineChars="200"/>
        <w:rPr>
          <w:rFonts w:hint="eastAsia" w:ascii="仿宋" w:hAnsi="仿宋" w:eastAsia="仿宋" w:cs="Times New Roman"/>
          <w:sz w:val="24"/>
        </w:rPr>
      </w:pPr>
      <w:r>
        <w:rPr>
          <w:rFonts w:hint="eastAsia" w:ascii="仿宋" w:hAnsi="仿宋" w:eastAsia="仿宋" w:cs="Times New Roman"/>
          <w:sz w:val="24"/>
        </w:rPr>
        <w:t>十二、本单位承诺接受贵单位的数据安全相关管理办法，并接受贵单位必要的安全监控和审计。</w:t>
      </w:r>
    </w:p>
    <w:p w14:paraId="4829B6B7">
      <w:pPr>
        <w:spacing w:line="360" w:lineRule="exact"/>
        <w:ind w:firstLine="482" w:firstLineChars="200"/>
        <w:rPr>
          <w:rFonts w:hint="eastAsia" w:ascii="仿宋" w:hAnsi="仿宋" w:eastAsia="仿宋" w:cs="Times New Roman"/>
          <w:b/>
          <w:sz w:val="24"/>
        </w:rPr>
      </w:pPr>
      <w:r>
        <w:rPr>
          <w:rFonts w:hint="eastAsia" w:ascii="仿宋" w:hAnsi="仿宋" w:eastAsia="仿宋" w:cs="Times New Roman"/>
          <w:b/>
          <w:sz w:val="24"/>
        </w:rPr>
        <w:t xml:space="preserve"> </w:t>
      </w:r>
    </w:p>
    <w:p w14:paraId="4C76A765">
      <w:pPr>
        <w:spacing w:line="360" w:lineRule="exact"/>
        <w:ind w:firstLine="4200" w:firstLineChars="1750"/>
        <w:rPr>
          <w:rFonts w:hint="eastAsia" w:ascii="仿宋" w:hAnsi="仿宋" w:eastAsia="仿宋" w:cs="Times New Roman"/>
          <w:sz w:val="24"/>
        </w:rPr>
      </w:pPr>
      <w:r>
        <w:rPr>
          <w:rFonts w:hint="eastAsia" w:ascii="仿宋" w:hAnsi="仿宋" w:eastAsia="仿宋" w:cs="Times New Roman"/>
          <w:sz w:val="24"/>
        </w:rPr>
        <w:t xml:space="preserve">承诺单位（盖公章）： </w:t>
      </w:r>
    </w:p>
    <w:p w14:paraId="42FA116B">
      <w:pPr>
        <w:spacing w:line="360" w:lineRule="exact"/>
        <w:ind w:firstLine="4200" w:firstLineChars="1750"/>
        <w:rPr>
          <w:rFonts w:hint="eastAsia" w:ascii="仿宋" w:hAnsi="仿宋" w:eastAsia="仿宋" w:cs="Times New Roman"/>
          <w:sz w:val="24"/>
        </w:rPr>
      </w:pPr>
      <w:r>
        <w:rPr>
          <w:rFonts w:hint="eastAsia" w:ascii="仿宋" w:hAnsi="仿宋" w:eastAsia="仿宋" w:cs="Times New Roman"/>
          <w:sz w:val="24"/>
        </w:rPr>
        <w:t>法定代表人</w:t>
      </w:r>
    </w:p>
    <w:p w14:paraId="4260DE83">
      <w:pPr>
        <w:spacing w:line="360" w:lineRule="exact"/>
        <w:ind w:firstLine="4200" w:firstLineChars="1750"/>
        <w:rPr>
          <w:rFonts w:hint="eastAsia" w:ascii="仿宋" w:hAnsi="仿宋" w:eastAsia="仿宋" w:cs="Times New Roman"/>
          <w:sz w:val="24"/>
        </w:rPr>
      </w:pPr>
      <w:r>
        <w:rPr>
          <w:rFonts w:hint="eastAsia" w:ascii="仿宋" w:hAnsi="仿宋" w:eastAsia="仿宋" w:cs="Times New Roman"/>
          <w:sz w:val="24"/>
        </w:rPr>
        <w:t xml:space="preserve">或授权委托人签字:  </w:t>
      </w:r>
    </w:p>
    <w:p w14:paraId="3447D9F6">
      <w:pPr>
        <w:spacing w:line="360" w:lineRule="exact"/>
        <w:ind w:firstLine="4200" w:firstLineChars="1750"/>
        <w:rPr>
          <w:rFonts w:hint="eastAsia" w:ascii="仿宋" w:hAnsi="仿宋" w:eastAsia="仿宋" w:cs="Times New Roman"/>
          <w:sz w:val="24"/>
        </w:rPr>
      </w:pPr>
      <w:r>
        <w:rPr>
          <w:rFonts w:hint="eastAsia" w:ascii="仿宋" w:hAnsi="仿宋" w:eastAsia="仿宋" w:cs="Times New Roman"/>
          <w:sz w:val="24"/>
        </w:rPr>
        <w:t>日期：</w:t>
      </w:r>
    </w:p>
    <w:p w14:paraId="348D8151">
      <w:pPr>
        <w:spacing w:line="360" w:lineRule="exact"/>
        <w:rPr>
          <w:rFonts w:ascii="仿宋" w:hAnsi="仿宋" w:eastAsia="仿宋" w:cs="Times New Roman"/>
          <w:sz w:val="24"/>
        </w:rPr>
      </w:pPr>
    </w:p>
    <w:p w14:paraId="4EEA452B">
      <w:pPr>
        <w:rPr>
          <w:rFonts w:hint="eastAsia" w:ascii="Calibri" w:hAnsi="Calibri" w:eastAsia="宋体" w:cs="黑体"/>
          <w:b/>
          <w:bCs/>
          <w:kern w:val="0"/>
          <w:sz w:val="24"/>
          <w:szCs w:val="24"/>
          <w:u w:val="single"/>
          <w:lang w:val="en-US" w:eastAsia="zh-CN" w:bidi="ar-SA"/>
        </w:rPr>
      </w:pPr>
      <w:r>
        <w:rPr>
          <w:rFonts w:ascii="仿宋" w:hAnsi="仿宋" w:eastAsia="仿宋" w:cs="Times New Roman"/>
          <w:color w:val="000000"/>
        </w:rPr>
        <w:br w:type="page"/>
      </w:r>
      <w:r>
        <w:rPr>
          <w:rFonts w:hint="eastAsia" w:ascii="仿宋" w:hAnsi="仿宋" w:eastAsia="仿宋" w:cs="仿宋"/>
          <w:b/>
          <w:bCs/>
          <w:color w:val="000000"/>
          <w:kern w:val="0"/>
          <w:sz w:val="24"/>
          <w:lang w:val="en-US" w:eastAsia="zh-CN" w:bidi="ar"/>
        </w:rPr>
        <w:t>附件六：</w:t>
      </w:r>
      <w:r>
        <w:rPr>
          <w:rFonts w:hint="eastAsia" w:ascii="仿宋" w:hAnsi="仿宋" w:eastAsia="仿宋" w:cs="Times New Roman"/>
          <w:b/>
          <w:bCs/>
          <w:color w:val="000000"/>
          <w:sz w:val="24"/>
          <w:szCs w:val="24"/>
          <w:lang w:val="en-US" w:eastAsia="zh-CN"/>
        </w:rPr>
        <w:t>服务项目人员名单</w:t>
      </w:r>
    </w:p>
    <w:p w14:paraId="1F1E70BE">
      <w:pPr>
        <w:spacing w:line="360" w:lineRule="exact"/>
        <w:ind w:firstLine="0"/>
        <w:rPr>
          <w:rFonts w:hint="eastAsia" w:ascii="仿宋" w:hAnsi="仿宋" w:eastAsia="仿宋" w:cs="Times New Roman"/>
          <w:color w:val="000000"/>
          <w:sz w:val="24"/>
          <w:szCs w:val="24"/>
          <w:lang w:val="en-US" w:eastAsia="zh-CN"/>
        </w:rPr>
      </w:pPr>
    </w:p>
    <w:tbl>
      <w:tblPr>
        <w:tblStyle w:val="39"/>
        <w:tblW w:w="5000" w:type="pct"/>
        <w:tblInd w:w="0" w:type="dxa"/>
        <w:tblLayout w:type="fixed"/>
        <w:tblCellMar>
          <w:top w:w="0" w:type="dxa"/>
          <w:left w:w="108" w:type="dxa"/>
          <w:bottom w:w="0" w:type="dxa"/>
          <w:right w:w="108" w:type="dxa"/>
        </w:tblCellMar>
      </w:tblPr>
      <w:tblGrid>
        <w:gridCol w:w="597"/>
        <w:gridCol w:w="1057"/>
        <w:gridCol w:w="911"/>
        <w:gridCol w:w="1740"/>
        <w:gridCol w:w="800"/>
        <w:gridCol w:w="1575"/>
        <w:gridCol w:w="1243"/>
        <w:gridCol w:w="599"/>
      </w:tblGrid>
      <w:tr w14:paraId="0F4F2531">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70E7D11E">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34AA558E">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19E17544">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00C41B7C">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75FBDB84">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DC7035E">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B83F60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F32F738">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7D15924A">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580FB318">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1B8078F2">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0EC4FD83">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49E8E1DD">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6AFBBD77">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2B48AEFC">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1" w:type="pct"/>
            <w:tcBorders>
              <w:top w:val="single" w:color="000000" w:sz="4" w:space="0"/>
              <w:left w:val="single" w:color="000000" w:sz="4" w:space="0"/>
              <w:bottom w:val="single" w:color="000000" w:sz="4" w:space="0"/>
              <w:right w:val="single" w:color="000000" w:sz="4" w:space="0"/>
            </w:tcBorders>
            <w:vAlign w:val="center"/>
          </w:tcPr>
          <w:p w14:paraId="34C74A16">
            <w:pPr>
              <w:tabs>
                <w:tab w:val="left" w:pos="7980"/>
              </w:tabs>
              <w:spacing w:line="360" w:lineRule="exact"/>
              <w:jc w:val="left"/>
              <w:rPr>
                <w:rFonts w:ascii="仿宋" w:hAnsi="仿宋" w:eastAsia="仿宋" w:cs="Times New Roman"/>
                <w:kern w:val="0"/>
                <w:sz w:val="24"/>
              </w:rPr>
            </w:pPr>
          </w:p>
        </w:tc>
      </w:tr>
      <w:tr w14:paraId="44883F6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6AD2DD7">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24BD3E8">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4F9A064C">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A900769">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73123D6A">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95A1FA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5AACE204">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31A0D7A">
            <w:pPr>
              <w:tabs>
                <w:tab w:val="left" w:pos="7980"/>
              </w:tabs>
              <w:spacing w:line="360" w:lineRule="exact"/>
              <w:jc w:val="left"/>
              <w:rPr>
                <w:rFonts w:ascii="仿宋" w:hAnsi="仿宋" w:eastAsia="仿宋" w:cs="Times New Roman"/>
                <w:kern w:val="0"/>
                <w:sz w:val="24"/>
              </w:rPr>
            </w:pPr>
          </w:p>
        </w:tc>
      </w:tr>
      <w:tr w14:paraId="050B48F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9FE3803">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6F57EFA7">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AE74C21">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413CF5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99B76B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DD6691F">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0885009C">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5C9301FD">
            <w:pPr>
              <w:tabs>
                <w:tab w:val="left" w:pos="7980"/>
              </w:tabs>
              <w:spacing w:line="360" w:lineRule="exact"/>
              <w:jc w:val="left"/>
              <w:rPr>
                <w:rFonts w:ascii="仿宋" w:hAnsi="仿宋" w:eastAsia="仿宋" w:cs="Times New Roman"/>
                <w:kern w:val="0"/>
                <w:sz w:val="24"/>
              </w:rPr>
            </w:pPr>
          </w:p>
        </w:tc>
      </w:tr>
      <w:tr w14:paraId="7F9922F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CEFD289">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281905D">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46E9034">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49888A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77F85A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D25F7AF">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452186FE">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5F8394CC">
            <w:pPr>
              <w:tabs>
                <w:tab w:val="left" w:pos="7980"/>
              </w:tabs>
              <w:spacing w:line="360" w:lineRule="exact"/>
              <w:jc w:val="left"/>
              <w:rPr>
                <w:rFonts w:ascii="仿宋" w:hAnsi="仿宋" w:eastAsia="仿宋" w:cs="Times New Roman"/>
                <w:kern w:val="0"/>
                <w:sz w:val="24"/>
              </w:rPr>
            </w:pPr>
          </w:p>
        </w:tc>
      </w:tr>
      <w:tr w14:paraId="419EBA08">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61CDAFA0">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83C4BF8">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1F72F74">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0D5A2B2">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711B54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705DF8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43348A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430863E">
            <w:pPr>
              <w:tabs>
                <w:tab w:val="left" w:pos="7980"/>
              </w:tabs>
              <w:spacing w:line="360" w:lineRule="exact"/>
              <w:jc w:val="left"/>
              <w:rPr>
                <w:rFonts w:ascii="仿宋" w:hAnsi="仿宋" w:eastAsia="仿宋" w:cs="Times New Roman"/>
                <w:kern w:val="0"/>
                <w:sz w:val="24"/>
              </w:rPr>
            </w:pPr>
          </w:p>
        </w:tc>
      </w:tr>
      <w:tr w14:paraId="3827F9ED">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E1BFCDA">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5B6A3B52">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667B99E">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5B98F2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37D63FF">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DB0AB5B">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8E51416">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37C3FAE5">
            <w:pPr>
              <w:tabs>
                <w:tab w:val="left" w:pos="7980"/>
              </w:tabs>
              <w:spacing w:line="360" w:lineRule="exact"/>
              <w:jc w:val="left"/>
              <w:rPr>
                <w:rFonts w:ascii="仿宋" w:hAnsi="仿宋" w:eastAsia="仿宋" w:cs="Times New Roman"/>
                <w:kern w:val="0"/>
                <w:sz w:val="24"/>
              </w:rPr>
            </w:pPr>
          </w:p>
        </w:tc>
      </w:tr>
      <w:tr w14:paraId="1F9DE01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ABCC729">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9E40F6D">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0FC8782">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07EAB97">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C214D9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327CDC0">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251C19A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1549C641">
            <w:pPr>
              <w:tabs>
                <w:tab w:val="left" w:pos="7980"/>
              </w:tabs>
              <w:spacing w:line="360" w:lineRule="exact"/>
              <w:jc w:val="left"/>
              <w:rPr>
                <w:rFonts w:ascii="仿宋" w:hAnsi="仿宋" w:eastAsia="仿宋" w:cs="Times New Roman"/>
                <w:kern w:val="0"/>
                <w:sz w:val="24"/>
              </w:rPr>
            </w:pPr>
          </w:p>
        </w:tc>
      </w:tr>
      <w:tr w14:paraId="4B297D6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7D2F2AA">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4482152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CC624C6">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8EE0FFC">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BA8335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99B49B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177C73E6">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40256E30">
            <w:pPr>
              <w:tabs>
                <w:tab w:val="left" w:pos="7980"/>
              </w:tabs>
              <w:spacing w:line="360" w:lineRule="exact"/>
              <w:jc w:val="left"/>
              <w:rPr>
                <w:rFonts w:ascii="仿宋" w:hAnsi="仿宋" w:eastAsia="仿宋" w:cs="Times New Roman"/>
                <w:kern w:val="0"/>
                <w:sz w:val="24"/>
              </w:rPr>
            </w:pPr>
          </w:p>
        </w:tc>
      </w:tr>
      <w:tr w14:paraId="5C36A92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531F3CB">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33FCB98">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BF58D20">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B0DCB8B">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04F6AAE">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CA78C68">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968927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6FB5D6C">
            <w:pPr>
              <w:tabs>
                <w:tab w:val="left" w:pos="7980"/>
              </w:tabs>
              <w:spacing w:line="360" w:lineRule="exact"/>
              <w:jc w:val="left"/>
              <w:rPr>
                <w:rFonts w:ascii="仿宋" w:hAnsi="仿宋" w:eastAsia="仿宋" w:cs="Times New Roman"/>
                <w:kern w:val="0"/>
                <w:sz w:val="24"/>
              </w:rPr>
            </w:pPr>
          </w:p>
        </w:tc>
      </w:tr>
      <w:tr w14:paraId="4F1F257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B34CEDF">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6D6C240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B426E03">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292C402">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74D9C0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624942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9E359EB">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89DA68A">
            <w:pPr>
              <w:tabs>
                <w:tab w:val="left" w:pos="7980"/>
              </w:tabs>
              <w:spacing w:line="360" w:lineRule="exact"/>
              <w:jc w:val="left"/>
              <w:rPr>
                <w:rFonts w:ascii="仿宋" w:hAnsi="仿宋" w:eastAsia="仿宋" w:cs="Times New Roman"/>
                <w:kern w:val="0"/>
                <w:sz w:val="24"/>
              </w:rPr>
            </w:pPr>
          </w:p>
        </w:tc>
      </w:tr>
      <w:tr w14:paraId="0894038B">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2F7AD47">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735DB502">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513AC5F">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13F6988E">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319C41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2A05B2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EC67E1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D6567F2">
            <w:pPr>
              <w:tabs>
                <w:tab w:val="left" w:pos="7980"/>
              </w:tabs>
              <w:spacing w:line="360" w:lineRule="exact"/>
              <w:jc w:val="left"/>
              <w:rPr>
                <w:rFonts w:ascii="仿宋" w:hAnsi="仿宋" w:eastAsia="仿宋" w:cs="Times New Roman"/>
                <w:kern w:val="0"/>
                <w:sz w:val="24"/>
              </w:rPr>
            </w:pPr>
          </w:p>
        </w:tc>
      </w:tr>
      <w:tr w14:paraId="2A6908C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B1AA326">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73F33BB8">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BE1DB86">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75D989F">
            <w:pPr>
              <w:tabs>
                <w:tab w:val="left" w:pos="7980"/>
              </w:tabs>
              <w:spacing w:line="360" w:lineRule="exact"/>
              <w:jc w:val="left"/>
              <w:rPr>
                <w:rFonts w:ascii="仿宋" w:hAnsi="仿宋" w:eastAsia="仿宋" w:cs="Times New Roman"/>
                <w:kern w:val="0"/>
                <w:sz w:val="24"/>
              </w:rPr>
            </w:pPr>
            <w:bookmarkStart w:id="1536" w:name="OLE_LINK1"/>
            <w:r>
              <w:rPr>
                <w:rFonts w:hint="eastAsia" w:ascii="仿宋" w:hAnsi="仿宋" w:eastAsia="仿宋" w:cs="Times New Roman"/>
                <w:kern w:val="0"/>
                <w:sz w:val="24"/>
              </w:rPr>
              <w:t>项目联系人</w:t>
            </w:r>
            <w:bookmarkEnd w:id="1536"/>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FF4769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C0D8D7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4956E1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8B04B8F">
            <w:pPr>
              <w:tabs>
                <w:tab w:val="left" w:pos="7980"/>
              </w:tabs>
              <w:spacing w:line="360" w:lineRule="exact"/>
              <w:jc w:val="left"/>
              <w:rPr>
                <w:rFonts w:ascii="仿宋" w:hAnsi="仿宋" w:eastAsia="仿宋" w:cs="Times New Roman"/>
                <w:kern w:val="0"/>
                <w:sz w:val="24"/>
              </w:rPr>
            </w:pPr>
          </w:p>
        </w:tc>
      </w:tr>
      <w:tr w14:paraId="4B7D9D49">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4C3D595">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1AC7233E">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159D732">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76EE734">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BB308F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58B2D0E">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808D35B">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AFED1ED">
            <w:pPr>
              <w:tabs>
                <w:tab w:val="left" w:pos="7980"/>
              </w:tabs>
              <w:spacing w:line="360" w:lineRule="exact"/>
              <w:jc w:val="left"/>
              <w:rPr>
                <w:rFonts w:ascii="仿宋" w:hAnsi="仿宋" w:eastAsia="仿宋" w:cs="Times New Roman"/>
                <w:kern w:val="0"/>
                <w:sz w:val="24"/>
              </w:rPr>
            </w:pPr>
          </w:p>
        </w:tc>
      </w:tr>
      <w:tr w14:paraId="34DDFBE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078AC73">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009454F6">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047221C">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B87EBF9">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E6E623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5C0DBD0">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DDF8197">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086BC7D">
            <w:pPr>
              <w:tabs>
                <w:tab w:val="left" w:pos="7980"/>
              </w:tabs>
              <w:spacing w:line="360" w:lineRule="exact"/>
              <w:jc w:val="left"/>
              <w:rPr>
                <w:rFonts w:ascii="仿宋" w:hAnsi="仿宋" w:eastAsia="仿宋" w:cs="Times New Roman"/>
                <w:kern w:val="0"/>
                <w:sz w:val="24"/>
              </w:rPr>
            </w:pPr>
          </w:p>
        </w:tc>
      </w:tr>
      <w:tr w14:paraId="3E1513B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A1B071B">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477B1E3D">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71B565B">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E3CC1C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86815C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0DE50C7">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37F0B7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A08817B">
            <w:pPr>
              <w:tabs>
                <w:tab w:val="left" w:pos="7980"/>
              </w:tabs>
              <w:spacing w:line="360" w:lineRule="exact"/>
              <w:jc w:val="left"/>
              <w:rPr>
                <w:rFonts w:ascii="仿宋" w:hAnsi="仿宋" w:eastAsia="仿宋" w:cs="Times New Roman"/>
                <w:kern w:val="0"/>
                <w:sz w:val="24"/>
              </w:rPr>
            </w:pPr>
          </w:p>
        </w:tc>
      </w:tr>
      <w:tr w14:paraId="78D09ED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9FECB2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480EFA5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8FFE68C">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067082D">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DE086B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E857E50">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7A0A08D">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E42CB3A">
            <w:pPr>
              <w:tabs>
                <w:tab w:val="left" w:pos="7980"/>
              </w:tabs>
              <w:spacing w:line="360" w:lineRule="exact"/>
              <w:jc w:val="left"/>
              <w:rPr>
                <w:rFonts w:ascii="仿宋" w:hAnsi="仿宋" w:eastAsia="仿宋" w:cs="Times New Roman"/>
                <w:kern w:val="0"/>
                <w:sz w:val="24"/>
              </w:rPr>
            </w:pPr>
          </w:p>
        </w:tc>
      </w:tr>
      <w:tr w14:paraId="38E0A5DE">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159A118B">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A630F6B">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7A30B90">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1053D98">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02CFDDD">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5F2ADE1">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5EDE87B">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270D4F6A">
            <w:pPr>
              <w:rPr>
                <w:rFonts w:ascii="宋体" w:hAnsi="宋体" w:eastAsia="宋体" w:cs="宋体"/>
                <w:sz w:val="24"/>
              </w:rPr>
            </w:pPr>
          </w:p>
        </w:tc>
      </w:tr>
      <w:tr w14:paraId="2D9A140D">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DE36EA1">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8E07D7B">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9E12369">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3453EC0D">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D0F8009">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BB074D3">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DD030AE">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2F253C9">
            <w:pPr>
              <w:rPr>
                <w:rFonts w:ascii="宋体" w:hAnsi="宋体" w:eastAsia="宋体" w:cs="宋体"/>
                <w:sz w:val="24"/>
              </w:rPr>
            </w:pPr>
          </w:p>
        </w:tc>
      </w:tr>
      <w:tr w14:paraId="29AA9430">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56FFECF">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A813DCA">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877717C">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D2E2703">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A141785">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F9F013A">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46EB5CA">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6C0A7F1">
            <w:pPr>
              <w:rPr>
                <w:rFonts w:ascii="宋体" w:hAnsi="宋体" w:eastAsia="宋体" w:cs="宋体"/>
                <w:sz w:val="24"/>
              </w:rPr>
            </w:pPr>
          </w:p>
        </w:tc>
      </w:tr>
    </w:tbl>
    <w:p w14:paraId="660DF7A2">
      <w:pPr>
        <w:rPr>
          <w:rFonts w:hint="eastAsia" w:ascii="仿宋" w:hAnsi="仿宋" w:eastAsia="仿宋" w:cs="仿宋"/>
          <w:sz w:val="24"/>
          <w:szCs w:val="24"/>
          <w:lang w:val="en-US" w:eastAsia="zh-CN"/>
        </w:rPr>
      </w:pPr>
    </w:p>
    <w:p w14:paraId="1CCCC904">
      <w:pPr>
        <w:rPr>
          <w:rFonts w:ascii="Calibri" w:hAnsi="Calibri" w:eastAsia="宋体" w:cs="Times New Roman"/>
        </w:rPr>
      </w:pPr>
      <w:r>
        <w:rPr>
          <w:rFonts w:hint="eastAsia" w:ascii="仿宋" w:hAnsi="仿宋" w:eastAsia="仿宋" w:cs="Times New Roman"/>
          <w:sz w:val="24"/>
          <w:lang w:val="en-US" w:eastAsia="zh-CN"/>
        </w:rPr>
        <w:t>注：★人员名单需作为合同附件，名单内人员变更需经甲方书面同意。</w:t>
      </w:r>
    </w:p>
    <w:p w14:paraId="1E125BC1">
      <w:pPr>
        <w:rPr>
          <w:rFonts w:ascii="Times New Roman" w:hAnsi="Times New Roman" w:eastAsia="宋体" w:cs="Times New Roman"/>
        </w:rPr>
      </w:pPr>
    </w:p>
    <w:p w14:paraId="183D1DAF">
      <w:pPr>
        <w:widowControl/>
        <w:spacing w:line="360" w:lineRule="exact"/>
        <w:jc w:val="left"/>
        <w:rPr>
          <w:rFonts w:ascii="仿宋" w:hAnsi="仿宋" w:eastAsia="仿宋" w:cs="Times New Roman"/>
          <w:color w:val="000000"/>
        </w:rPr>
      </w:pPr>
      <w:r>
        <w:rPr>
          <w:rFonts w:ascii="仿宋" w:hAnsi="仿宋" w:eastAsia="仿宋" w:cs="Times New Roman"/>
          <w:color w:val="000000"/>
        </w:rPr>
        <w:br w:type="page"/>
      </w:r>
    </w:p>
    <w:p w14:paraId="6E4D914B">
      <w:pPr>
        <w:spacing w:line="360" w:lineRule="exact"/>
        <w:rPr>
          <w:rFonts w:hint="eastAsia" w:ascii="仿宋" w:hAnsi="仿宋" w:eastAsia="仿宋" w:cs="Times New Roman"/>
          <w:sz w:val="24"/>
          <w:lang w:val="en-US" w:eastAsia="zh-CN"/>
        </w:rPr>
      </w:pPr>
      <w:r>
        <w:rPr>
          <w:rFonts w:hint="eastAsia" w:ascii="仿宋" w:hAnsi="仿宋" w:eastAsia="仿宋" w:cs="Times New Roman"/>
          <w:sz w:val="24"/>
        </w:rPr>
        <w:t>附件</w:t>
      </w:r>
      <w:r>
        <w:rPr>
          <w:rFonts w:hint="eastAsia" w:ascii="仿宋" w:hAnsi="仿宋" w:eastAsia="仿宋" w:cs="Times New Roman"/>
          <w:sz w:val="24"/>
          <w:lang w:val="en-US" w:eastAsia="zh-CN"/>
        </w:rPr>
        <w:t>七</w:t>
      </w:r>
    </w:p>
    <w:p w14:paraId="567EFE21">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网络及信息安全承诺书</w:t>
      </w:r>
    </w:p>
    <w:p w14:paraId="73616D47">
      <w:pPr>
        <w:spacing w:line="360" w:lineRule="exact"/>
        <w:jc w:val="center"/>
        <w:rPr>
          <w:rFonts w:ascii="仿宋" w:hAnsi="仿宋" w:eastAsia="仿宋" w:cs="Times New Roman"/>
          <w:b/>
          <w:sz w:val="28"/>
          <w:szCs w:val="28"/>
        </w:rPr>
      </w:pPr>
    </w:p>
    <w:p w14:paraId="059BBA4A">
      <w:pPr>
        <w:spacing w:line="360" w:lineRule="exact"/>
        <w:rPr>
          <w:rFonts w:ascii="仿宋" w:hAnsi="仿宋" w:eastAsia="仿宋" w:cs="Times New Roman"/>
          <w:sz w:val="24"/>
        </w:rPr>
      </w:pPr>
      <w:r>
        <w:rPr>
          <w:rFonts w:hint="eastAsia" w:ascii="仿宋" w:hAnsi="仿宋" w:eastAsia="仿宋" w:cs="Times New Roman"/>
          <w:sz w:val="24"/>
        </w:rPr>
        <w:t>中国电信[</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]公司：</w:t>
      </w:r>
    </w:p>
    <w:p w14:paraId="54BCA1E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本单位郑重承诺遵守本承诺书，如有违反本承诺书有关条款的行为，本单位承担由此带来的一切责任。</w:t>
      </w:r>
    </w:p>
    <w:p w14:paraId="7BA3DB1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02FCEBE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本单位承诺向贵公司提供产品或服务符合相关规定、政府主管部门要求以及与贵公司的合同/协议（“合同”）约定，落实网络安全、数据安全和个人信息保护责任。本单位承诺具备履行合同所需的全部合法必要的资质条件。</w:t>
      </w:r>
    </w:p>
    <w:p w14:paraId="7568802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三、本单位承诺按照用户真实身份信息制度（“实名制”）的要求提供身份信息、使用业务，并保证所提供信息、资料的真实、完整、准确、有效。</w:t>
      </w:r>
    </w:p>
    <w:p w14:paraId="4ACDB78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四、本单位保证不利用网络（包括但不限于固定网、移动网、互联网，下同）从事危害国家安全、泄露国家秘密等违法犯罪活动，不侵犯他人的合法权益。</w:t>
      </w:r>
    </w:p>
    <w:p w14:paraId="61FA7F4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784CB00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01370E2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七、本单位受贵公司委托处理个人信息等数据的，或本单位与贵公司共同处理个人信息等数据的，本单位承诺按照与贵公司的合同约定处理，不得超出约定的处理目的、处理方式等处理上述数据，严格遵循数据处理时限。如果合同不生效、无效、被撤销、终止，或其他贵公司认为必要的情况下，本单位承诺按照贵公司的要求对个人信息等数据（包括但不限于原始数据、备份数据、基于所提供的数据产生的衍生数据）予以返还或者删除，且未经贵公司同意不得以任何方式留存履行合同过程中所处理的任何上述数据。上述数据的返还或删除并不免除本单位其他义务。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724F16A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5EB4D56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本单位承诺严格按照相关规定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信息安全责任人发生变更时及时通知贵公司。否则，导致的一切后果由本单位承担，贵公司有权立即终止合同。</w:t>
      </w:r>
    </w:p>
    <w:p w14:paraId="69BC00C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1627BE8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一、本单位承诺利用网络发送的信息以及向贵公司提供的信息真实、准确、合法。该等信息内容应当严格符合相关规定，本单位不得通过通信网络、互联网制作、复制、查阅和传播有害信息，不得散发传播违法、不健康、反动等信息，不得制作、复制、查阅和传播任何违反下列要求（即“九不准”及“六不许”）的信息。</w:t>
      </w:r>
    </w:p>
    <w:p w14:paraId="533A8AC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“九不准”，即不准制作、复制、查阅和传播含有以下内容的信息：</w:t>
      </w:r>
    </w:p>
    <w:p w14:paraId="44BF82D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1、反对宪法所确定的基本原则的；</w:t>
      </w:r>
    </w:p>
    <w:p w14:paraId="3ED9FF1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2、危害国家安全，泄露国家秘密，颠覆国家政权，破坏国家统一的。</w:t>
      </w:r>
    </w:p>
    <w:p w14:paraId="6645D53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3、损害国家荣誉和利益的；</w:t>
      </w:r>
    </w:p>
    <w:p w14:paraId="0AF1FB4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4、煽动民族仇恨、民族歧视，破坏民族团结的；</w:t>
      </w:r>
    </w:p>
    <w:p w14:paraId="61A8BA0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5、破坏国家宗教政策，宣扬邪教和封建迷信的；</w:t>
      </w:r>
    </w:p>
    <w:p w14:paraId="669BB61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6、散布谣言，扰乱社会秩序，破坏社会稳定的；</w:t>
      </w:r>
    </w:p>
    <w:p w14:paraId="6623600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7、散布淫秽、色情、赌博、暴力、凶杀、恐怖或者教唆犯罪的。</w:t>
      </w:r>
    </w:p>
    <w:p w14:paraId="64B56C9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8、侮辱或者诽谤他人，侵害他人合法权益的；</w:t>
      </w:r>
    </w:p>
    <w:p w14:paraId="0E0DEC2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9、含有法律、法规禁止的其他内容的。</w:t>
      </w:r>
    </w:p>
    <w:p w14:paraId="18C2E90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 “六不许”，即：</w:t>
      </w:r>
    </w:p>
    <w:p w14:paraId="0D55650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1、决不允许在群众中散布违背党的理论和路线方针政策的意见。</w:t>
      </w:r>
    </w:p>
    <w:p w14:paraId="2C26D6C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2、决不允许公开发表同中央的决定相违背的言论。</w:t>
      </w:r>
    </w:p>
    <w:p w14:paraId="0C33325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3、决不允许对中央的决策部署阳奉阴违。</w:t>
      </w:r>
    </w:p>
    <w:p w14:paraId="6A4891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4、决不允许编造、传播政治谣言及丑化党和国家形象的言论。</w:t>
      </w:r>
    </w:p>
    <w:p w14:paraId="321899C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5、决不允许以任何形式泄露党和国家的秘密。</w:t>
      </w:r>
    </w:p>
    <w:p w14:paraId="1E1CC3D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6、决不允许参与各种非法组织和非法活动。</w:t>
      </w:r>
    </w:p>
    <w:p w14:paraId="212F13B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0E781B7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1、未经允许进入网络或者使用网络资源；</w:t>
      </w:r>
    </w:p>
    <w:p w14:paraId="33FB098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2、未经允许对网络功能进行删除、修改或者增加；</w:t>
      </w:r>
    </w:p>
    <w:p w14:paraId="230A3F9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3、未经允许对网络中存储或者传输的数据和应用程序进行删除、修改或者增加；</w:t>
      </w:r>
    </w:p>
    <w:p w14:paraId="4602ECE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4、制作、传播、利用网络病毒等恶意程序或破坏性程序；</w:t>
      </w:r>
    </w:p>
    <w:p w14:paraId="52CF440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5、非法收集、使用、加工、传输或以其他方式处理个人信息等数据；</w:t>
      </w:r>
    </w:p>
    <w:p w14:paraId="56F6CA3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6、非法买卖、提供或者公开个人信息等数据；</w:t>
      </w:r>
    </w:p>
    <w:p w14:paraId="148D073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7、从事危害国家安全、公共利益的个人信息和数据处理活动；</w:t>
      </w:r>
    </w:p>
    <w:p w14:paraId="03985A9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8、其他危害网络安全、数据安全、侵犯他人合法权益的活动。</w:t>
      </w:r>
    </w:p>
    <w:p w14:paraId="03913EC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7DD96C9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十四、本单位承诺不进行法律、法规、政府监管规定等禁止的行为，包括但不限于：</w:t>
      </w:r>
    </w:p>
    <w:p w14:paraId="39DA2C3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1、所提供或接入的设备未取得入网许可，或可能影响网络安全或网络服务质量；</w:t>
      </w:r>
    </w:p>
    <w:p w14:paraId="3CC81E3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2、将合同履行中获得的账号、密码私自转让、转租或以非法方式提供给第三方；</w:t>
      </w:r>
    </w:p>
    <w:p w14:paraId="308A3D8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3、在设备、系统、计算机软件等产品或服务中非法植入后门程序等恶意程序或破坏性程序；</w:t>
      </w:r>
    </w:p>
    <w:p w14:paraId="0B5EF1F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4、利用提供产品或服务的便利条件非法获取用户个人信息等数据及重要运营数据、非法控制和操纵用户设备；</w:t>
      </w:r>
    </w:p>
    <w:p w14:paraId="6A4D821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5、未经贵公司同意擅自公开所提供产品或服务的源代码；</w:t>
      </w:r>
    </w:p>
    <w:p w14:paraId="5E53740B">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6、未经贵公司同意探测、发布贵公司及其关联方（“中国电信”）的网络、终端、信息系统漏洞，对中国电信运营的网络开展渗透测试；</w:t>
      </w:r>
    </w:p>
    <w:p w14:paraId="4548A2E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7、法律法规规定或合同约定的其他禁止行为。</w:t>
      </w:r>
    </w:p>
    <w:p w14:paraId="28D9B96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十五、本单位承诺提供给贵公司的产品或服务已关闭与合同约定无关的端口，不存在与合同约定无关的进程。</w:t>
      </w:r>
    </w:p>
    <w:p w14:paraId="7B66E9F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十六 本单位承诺未经贵公司同意不得以任何形式对提供给贵公司的产品或服务进行任何操作。本单位承诺严格按最小化原则管理相关产品或服务的操作权限并事先征得贵公司同意。</w:t>
      </w:r>
    </w:p>
    <w:p w14:paraId="394A619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十七、本单位承诺对提供给贵公司的产品或服务在交付前完成已知病毒查杀、安全缺陷及漏洞扫描和修复，交付后对发现的安全缺陷、漏洞等风险及时采取补救措施。</w:t>
      </w:r>
    </w:p>
    <w:p w14:paraId="6299B2B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十八、本单位承诺无正当理由不会中断所提供的产品或服务，亦不会中断提供必要的技术支持服务。</w:t>
      </w:r>
    </w:p>
    <w:p w14:paraId="71D0840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1C79F87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二十、本单位承诺同意并配合贵公司进行网络安全审查，检查的内容包括但不限于网络安全检查项、计算环境安全检查项、开发流程检查项、提供或委托处理数据的数据处理行为检查项等方面。</w:t>
      </w:r>
    </w:p>
    <w:p w14:paraId="7DC1793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二十一、本单位承诺按要求提供网络安全审查工作需要的材料，严格履行网络安全审查中作出的承诺。</w:t>
      </w:r>
    </w:p>
    <w:p w14:paraId="4020E70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二、本单位如出现任何违反上述承诺的情况，将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2B7B4FD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三、如出现任何违反上述承诺的情况引发的投诉、举报，由本单位负责解决并承担责任。当接到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130ACCE5">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二十四、本单位的信息安全责任人如下：</w:t>
      </w:r>
    </w:p>
    <w:p w14:paraId="710F316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 xml:space="preserve">姓名：[ </w:t>
      </w:r>
      <w:r>
        <w:rPr>
          <w:rFonts w:hint="eastAsia" w:ascii="仿宋" w:hAnsi="仿宋" w:eastAsia="仿宋" w:cs="Times New Roman"/>
          <w:sz w:val="24"/>
          <w:lang w:eastAsia="zh-CN"/>
        </w:rPr>
        <w:t xml:space="preserve">     </w:t>
      </w:r>
      <w:r>
        <w:rPr>
          <w:rFonts w:hint="eastAsia" w:ascii="仿宋" w:hAnsi="仿宋" w:eastAsia="仿宋" w:cs="Times New Roman"/>
          <w:sz w:val="24"/>
        </w:rPr>
        <w:t xml:space="preserve"> ],职务：[ </w:t>
      </w:r>
      <w:r>
        <w:rPr>
          <w:rFonts w:hint="eastAsia" w:ascii="仿宋" w:hAnsi="仿宋" w:eastAsia="仿宋" w:cs="Times New Roman"/>
          <w:sz w:val="24"/>
          <w:lang w:val="en-US" w:eastAsia="zh-CN"/>
        </w:rPr>
        <w:t>项目经理</w:t>
      </w:r>
      <w:r>
        <w:rPr>
          <w:rFonts w:hint="eastAsia" w:ascii="仿宋" w:hAnsi="仿宋" w:eastAsia="仿宋" w:cs="Times New Roman"/>
          <w:sz w:val="24"/>
        </w:rPr>
        <w:t xml:space="preserve"> ],联系方式：[</w:t>
      </w:r>
      <w:r>
        <w:rPr>
          <w:rFonts w:hint="eastAsia" w:ascii="仿宋" w:hAnsi="仿宋" w:eastAsia="仿宋" w:cs="Times New Roman"/>
          <w:sz w:val="24"/>
          <w:lang w:eastAsia="zh-CN"/>
        </w:rPr>
        <w:t xml:space="preserve">       </w:t>
      </w:r>
      <w:r>
        <w:rPr>
          <w:rFonts w:hint="eastAsia" w:ascii="仿宋" w:hAnsi="仿宋" w:eastAsia="仿宋" w:cs="Times New Roman"/>
          <w:sz w:val="24"/>
        </w:rPr>
        <w:t>]</w:t>
      </w:r>
    </w:p>
    <w:p w14:paraId="325CF6E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二十五、本单位承诺要求并监督参与向贵公司提供产品或服务的本单位人员（“本单位人员”）履行本《网络及信息安全承诺书》项下的义务和责任，并对本单位人员的行为承担责任。</w:t>
      </w:r>
    </w:p>
    <w:p w14:paraId="6CCE400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二十六、本承诺书经本单位签署后，与合同同时生效。</w:t>
      </w:r>
    </w:p>
    <w:p w14:paraId="36509CFA">
      <w:pPr>
        <w:spacing w:line="360" w:lineRule="exact"/>
        <w:ind w:firstLine="480" w:firstLineChars="200"/>
        <w:rPr>
          <w:rFonts w:ascii="仿宋" w:hAnsi="仿宋" w:eastAsia="仿宋" w:cs="Times New Roman"/>
          <w:sz w:val="24"/>
        </w:rPr>
      </w:pPr>
    </w:p>
    <w:p w14:paraId="2AB5429D">
      <w:pPr>
        <w:spacing w:line="360" w:lineRule="exact"/>
        <w:ind w:firstLine="480" w:firstLineChars="200"/>
        <w:rPr>
          <w:rFonts w:ascii="仿宋" w:hAnsi="仿宋" w:eastAsia="仿宋" w:cs="Times New Roman"/>
          <w:sz w:val="24"/>
        </w:rPr>
      </w:pPr>
    </w:p>
    <w:p w14:paraId="1F5DA4CE">
      <w:pPr>
        <w:spacing w:line="360" w:lineRule="exact"/>
        <w:rPr>
          <w:rFonts w:ascii="仿宋" w:hAnsi="仿宋" w:eastAsia="仿宋" w:cs="Times New Roman"/>
          <w:sz w:val="24"/>
        </w:rPr>
      </w:pPr>
      <w:r>
        <w:rPr>
          <w:rFonts w:hint="eastAsia" w:ascii="仿宋" w:hAnsi="仿宋" w:eastAsia="仿宋" w:cs="Times New Roman"/>
          <w:sz w:val="24"/>
        </w:rPr>
        <w:t>承诺单位（盖章）：[</w:t>
      </w:r>
      <w:r>
        <w:rPr>
          <w:rFonts w:hint="eastAsia" w:ascii="仿宋" w:hAnsi="仿宋" w:eastAsia="仿宋" w:cs="仿宋"/>
          <w:kern w:val="0"/>
          <w:sz w:val="24"/>
          <w:lang w:eastAsia="zh-CN"/>
        </w:rPr>
        <w:t xml:space="preserve">         </w:t>
      </w:r>
      <w:r>
        <w:rPr>
          <w:rFonts w:hint="eastAsia" w:ascii="仿宋" w:hAnsi="仿宋" w:eastAsia="仿宋" w:cs="Times New Roman"/>
          <w:sz w:val="24"/>
        </w:rPr>
        <w:t>]</w:t>
      </w:r>
    </w:p>
    <w:p w14:paraId="53DB5B1F">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44FCF2B1">
      <w:pPr>
        <w:spacing w:line="360" w:lineRule="exact"/>
        <w:rPr>
          <w:rFonts w:ascii="仿宋" w:hAnsi="仿宋" w:eastAsia="仿宋" w:cs="Times New Roman"/>
          <w:sz w:val="24"/>
        </w:rPr>
      </w:pPr>
      <w:r>
        <w:rPr>
          <w:rFonts w:hint="eastAsia" w:ascii="仿宋" w:hAnsi="仿宋" w:eastAsia="仿宋" w:cs="Times New Roman"/>
          <w:sz w:val="24"/>
        </w:rPr>
        <w:t>或授权代表（签字）：</w:t>
      </w:r>
    </w:p>
    <w:p w14:paraId="24DF0BFD">
      <w:pPr>
        <w:spacing w:line="360" w:lineRule="exact"/>
        <w:rPr>
          <w:rFonts w:ascii="仿宋" w:hAnsi="仿宋" w:eastAsia="仿宋" w:cs="Times New Roman"/>
          <w:color w:val="000000"/>
          <w:sz w:val="24"/>
        </w:rPr>
      </w:pPr>
    </w:p>
    <w:p w14:paraId="7C9CC43F">
      <w:pPr>
        <w:widowControl/>
        <w:spacing w:line="360" w:lineRule="exact"/>
        <w:jc w:val="left"/>
        <w:rPr>
          <w:rFonts w:ascii="仿宋" w:hAnsi="仿宋" w:eastAsia="仿宋" w:cs="Times New Roman"/>
          <w:color w:val="000000"/>
        </w:rPr>
      </w:pPr>
    </w:p>
    <w:p w14:paraId="2D0C081C">
      <w:pPr>
        <w:spacing w:line="360" w:lineRule="exact"/>
        <w:rPr>
          <w:rFonts w:hint="eastAsia" w:ascii="仿宋" w:hAnsi="仿宋" w:eastAsia="仿宋" w:cs="Times New Roman"/>
          <w:sz w:val="24"/>
          <w:lang w:val="en-US" w:eastAsia="zh-CN"/>
        </w:rPr>
      </w:pPr>
      <w:r>
        <w:rPr>
          <w:rFonts w:hint="eastAsia" w:ascii="仿宋" w:hAnsi="仿宋" w:eastAsia="仿宋" w:cs="Times New Roman"/>
          <w:sz w:val="24"/>
        </w:rPr>
        <w:t>附件</w:t>
      </w:r>
      <w:r>
        <w:rPr>
          <w:rFonts w:hint="eastAsia" w:ascii="仿宋" w:hAnsi="仿宋" w:eastAsia="仿宋" w:cs="Times New Roman"/>
          <w:sz w:val="24"/>
          <w:lang w:val="en-US" w:eastAsia="zh-CN"/>
        </w:rPr>
        <w:t>八</w:t>
      </w:r>
    </w:p>
    <w:p w14:paraId="5B7DA08B">
      <w:pPr>
        <w:spacing w:line="360" w:lineRule="exact"/>
        <w:jc w:val="center"/>
        <w:rPr>
          <w:rFonts w:ascii="仿宋" w:hAnsi="仿宋" w:eastAsia="仿宋" w:cs="Times New Roman"/>
          <w:b/>
          <w:sz w:val="28"/>
          <w:szCs w:val="28"/>
        </w:rPr>
      </w:pPr>
      <w:r>
        <w:rPr>
          <w:rFonts w:hint="eastAsia" w:ascii="仿宋" w:hAnsi="仿宋" w:eastAsia="仿宋" w:cs="Times New Roman"/>
          <w:b/>
          <w:sz w:val="28"/>
          <w:szCs w:val="28"/>
        </w:rPr>
        <w:t>廉洁协议</w:t>
      </w:r>
    </w:p>
    <w:p w14:paraId="7C0632C3">
      <w:pPr>
        <w:spacing w:line="360" w:lineRule="exact"/>
        <w:jc w:val="center"/>
        <w:rPr>
          <w:rFonts w:ascii="仿宋" w:hAnsi="仿宋" w:eastAsia="仿宋" w:cs="Times New Roman"/>
          <w:b/>
          <w:sz w:val="28"/>
          <w:szCs w:val="28"/>
        </w:rPr>
      </w:pPr>
    </w:p>
    <w:p w14:paraId="28FB2931">
      <w:pPr>
        <w:spacing w:line="360" w:lineRule="exact"/>
        <w:rPr>
          <w:rFonts w:ascii="仿宋" w:hAnsi="仿宋" w:eastAsia="仿宋" w:cs="Times New Roman"/>
          <w:sz w:val="24"/>
        </w:rPr>
      </w:pPr>
      <w:r>
        <w:rPr>
          <w:rFonts w:hint="eastAsia" w:ascii="仿宋" w:hAnsi="仿宋" w:eastAsia="仿宋" w:cs="Times New Roman"/>
          <w:sz w:val="24"/>
        </w:rPr>
        <w:t>甲方： 中国电信[</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 xml:space="preserve">]公司  </w:t>
      </w:r>
    </w:p>
    <w:p w14:paraId="0386187E">
      <w:pPr>
        <w:spacing w:line="360" w:lineRule="exact"/>
        <w:rPr>
          <w:rFonts w:hint="eastAsia" w:ascii="仿宋" w:hAnsi="仿宋" w:eastAsia="仿宋" w:cs="Times New Roman"/>
          <w:sz w:val="24"/>
        </w:rPr>
      </w:pPr>
      <w:r>
        <w:rPr>
          <w:rFonts w:hint="eastAsia" w:ascii="仿宋" w:hAnsi="仿宋" w:eastAsia="仿宋" w:cs="Times New Roman"/>
          <w:sz w:val="24"/>
        </w:rPr>
        <w:t xml:space="preserve">地址：[贵州省遵义市大兴路26号] </w:t>
      </w:r>
    </w:p>
    <w:p w14:paraId="75858756">
      <w:pPr>
        <w:spacing w:line="360" w:lineRule="exact"/>
        <w:rPr>
          <w:rFonts w:ascii="仿宋" w:hAnsi="仿宋" w:eastAsia="仿宋" w:cs="Times New Roman"/>
          <w:sz w:val="24"/>
        </w:rPr>
      </w:pPr>
      <w:r>
        <w:rPr>
          <w:rFonts w:hint="eastAsia" w:ascii="仿宋" w:hAnsi="仿宋" w:eastAsia="仿宋" w:cs="Times New Roman"/>
          <w:sz w:val="24"/>
        </w:rPr>
        <w:t xml:space="preserve">  法定代表人/负责人：[</w:t>
      </w:r>
      <w:r>
        <w:rPr>
          <w:rFonts w:hint="eastAsia" w:ascii="仿宋" w:hAnsi="仿宋" w:eastAsia="仿宋" w:cs="Times New Roman"/>
          <w:sz w:val="24"/>
          <w:lang w:val="en-US" w:eastAsia="zh-CN"/>
        </w:rPr>
        <w:t xml:space="preserve">  任飞 </w:t>
      </w:r>
      <w:r>
        <w:rPr>
          <w:rFonts w:hint="eastAsia" w:ascii="仿宋" w:hAnsi="仿宋" w:eastAsia="仿宋" w:cs="Times New Roman"/>
          <w:sz w:val="24"/>
        </w:rPr>
        <w:t xml:space="preserve">]             </w:t>
      </w:r>
    </w:p>
    <w:p w14:paraId="138FFFAD">
      <w:pPr>
        <w:spacing w:line="360" w:lineRule="exact"/>
        <w:rPr>
          <w:rFonts w:ascii="仿宋" w:hAnsi="仿宋" w:eastAsia="仿宋" w:cs="Times New Roman"/>
          <w:sz w:val="24"/>
        </w:rPr>
      </w:pPr>
    </w:p>
    <w:p w14:paraId="3C267325">
      <w:pPr>
        <w:spacing w:line="360" w:lineRule="exact"/>
        <w:rPr>
          <w:rFonts w:ascii="仿宋" w:hAnsi="仿宋" w:eastAsia="仿宋" w:cs="Times New Roman"/>
          <w:sz w:val="24"/>
        </w:rPr>
      </w:pPr>
      <w:r>
        <w:rPr>
          <w:rFonts w:hint="eastAsia" w:ascii="仿宋" w:hAnsi="仿宋" w:eastAsia="仿宋" w:cs="Times New Roman"/>
          <w:sz w:val="24"/>
        </w:rPr>
        <w:t>乙方：[</w:t>
      </w:r>
      <w:r>
        <w:rPr>
          <w:rFonts w:hint="eastAsia" w:ascii="仿宋" w:hAnsi="仿宋" w:eastAsia="仿宋" w:cs="Times New Roman"/>
          <w:sz w:val="24"/>
          <w:lang w:eastAsia="zh-CN"/>
        </w:rPr>
        <w:t xml:space="preserve">         </w:t>
      </w:r>
      <w:r>
        <w:rPr>
          <w:rFonts w:hint="eastAsia" w:ascii="仿宋" w:hAnsi="仿宋" w:eastAsia="仿宋" w:cs="Times New Roman"/>
          <w:sz w:val="24"/>
        </w:rPr>
        <w:t xml:space="preserve">]     </w:t>
      </w:r>
    </w:p>
    <w:p w14:paraId="7B9F2507">
      <w:pPr>
        <w:spacing w:line="360" w:lineRule="exact"/>
        <w:rPr>
          <w:rFonts w:ascii="仿宋" w:hAnsi="仿宋" w:eastAsia="仿宋" w:cs="Times New Roman"/>
          <w:sz w:val="24"/>
        </w:rPr>
      </w:pPr>
      <w:r>
        <w:rPr>
          <w:rFonts w:hint="eastAsia" w:ascii="仿宋" w:hAnsi="仿宋" w:eastAsia="仿宋" w:cs="Times New Roman"/>
          <w:sz w:val="24"/>
        </w:rPr>
        <w:t>地址：[</w:t>
      </w:r>
      <w:r>
        <w:rPr>
          <w:rFonts w:hint="eastAsia" w:ascii="仿宋" w:hAnsi="仿宋" w:eastAsia="仿宋" w:cs="Times New Roman"/>
          <w:sz w:val="24"/>
          <w:lang w:eastAsia="zh-CN"/>
        </w:rPr>
        <w:t xml:space="preserve">         </w:t>
      </w:r>
      <w:r>
        <w:rPr>
          <w:rFonts w:hint="eastAsia" w:ascii="仿宋" w:hAnsi="仿宋" w:eastAsia="仿宋" w:cs="Times New Roman"/>
          <w:sz w:val="24"/>
        </w:rPr>
        <w:t xml:space="preserve">]     </w:t>
      </w:r>
    </w:p>
    <w:p w14:paraId="06C3B6E8">
      <w:pPr>
        <w:spacing w:line="360" w:lineRule="exact"/>
        <w:rPr>
          <w:rFonts w:ascii="仿宋" w:hAnsi="仿宋" w:eastAsia="仿宋" w:cs="Times New Roman"/>
          <w:sz w:val="24"/>
        </w:rPr>
      </w:pPr>
      <w:r>
        <w:rPr>
          <w:rFonts w:hint="eastAsia" w:ascii="仿宋" w:hAnsi="仿宋" w:eastAsia="仿宋" w:cs="Times New Roman"/>
          <w:sz w:val="24"/>
        </w:rPr>
        <w:t>法定代表人/负责人：[</w:t>
      </w:r>
      <w:r>
        <w:rPr>
          <w:rFonts w:hint="eastAsia" w:ascii="仿宋" w:hAnsi="仿宋" w:eastAsia="仿宋" w:cs="Times New Roman"/>
          <w:sz w:val="24"/>
          <w:lang w:val="en-US" w:eastAsia="zh-CN"/>
        </w:rPr>
        <w:t xml:space="preserve">   </w:t>
      </w:r>
      <w:r>
        <w:rPr>
          <w:rFonts w:hint="eastAsia" w:ascii="仿宋" w:hAnsi="仿宋" w:eastAsia="仿宋" w:cs="Times New Roman"/>
          <w:sz w:val="24"/>
        </w:rPr>
        <w:t xml:space="preserve">]           </w:t>
      </w:r>
    </w:p>
    <w:p w14:paraId="70727F9B">
      <w:pPr>
        <w:spacing w:line="360" w:lineRule="exact"/>
        <w:rPr>
          <w:rFonts w:ascii="仿宋" w:hAnsi="仿宋" w:eastAsia="仿宋" w:cs="Times New Roman"/>
          <w:sz w:val="24"/>
        </w:rPr>
      </w:pPr>
    </w:p>
    <w:p w14:paraId="69A2F948">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为确保甲乙双方在签订和履行《[</w:t>
      </w:r>
      <w:r>
        <w:rPr>
          <w:rFonts w:hint="eastAsia" w:ascii="仿宋" w:hAnsi="仿宋" w:eastAsia="仿宋" w:cs="Times New Roman"/>
          <w:sz w:val="24"/>
          <w:lang w:eastAsia="zh-CN"/>
        </w:rPr>
        <w:t>2025年中国电信遵义分公司湄潭县中西医结合医院床旁结算系统开发服务采购</w:t>
      </w:r>
      <w:r>
        <w:rPr>
          <w:rFonts w:hint="eastAsia" w:ascii="仿宋" w:hAnsi="仿宋" w:eastAsia="仿宋" w:cs="Times New Roman"/>
          <w:sz w:val="24"/>
        </w:rPr>
        <w:t>]软件开发合同》（以下简称“合同”）过程中廉洁自律、诚实守信，防止违法违纪行为发生，保障双方合法权益，依据国家有关法律法规，经双方协商，达成以下协议：</w:t>
      </w:r>
    </w:p>
    <w:p w14:paraId="792D399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第一条甲方承诺</w:t>
      </w:r>
    </w:p>
    <w:p w14:paraId="0F74349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1.1严格遵守国家有关廉政规定。</w:t>
      </w:r>
    </w:p>
    <w:p w14:paraId="7E96A60C">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1.2严格遵守中国电信集团廉洁自律有关规定。</w:t>
      </w:r>
    </w:p>
    <w:p w14:paraId="54DEF76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1.3甲方及其工作人员不收受或变相收受乙方提供的礼品、礼金（礼券）、有价证券等任何形式的馈赠或无偿服务；不以任何形式向乙方索要任何财物；不在乙方报销应当由甲方或甲方工作人员个人支付的费用；不参加乙方安排的旅游或消费娱乐活动；不参加乙方宴请；不要求、不接受乙方为甲方工作人员或其亲属在住房、交通、婚丧嫁娶活动、工作安排或经商办企业等方面提供方便；不要求、不接受乙方为甲方工作人员或其亲属谋取利益。</w:t>
      </w:r>
    </w:p>
    <w:p w14:paraId="53022583">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1.4甲方工作人员应当督促并保证其亲属不收受或变相收受乙方赠送的礼品、礼金（礼券）、有价证券等任何形式的馈赠或无偿服务；不以任何形式向乙方索要任何财物；不在乙方报销应当由亲属个人支付的费用；不参加乙方安排的旅游或消费娱乐活动；不参加乙方宴请。</w:t>
      </w:r>
    </w:p>
    <w:p w14:paraId="1B1D288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1.5合同签订及履行期间不私下约见乙方工作人员。</w:t>
      </w:r>
    </w:p>
    <w:p w14:paraId="464D44E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1.6除甲方依据合同依法披露外，不向乙方及任何其他第三方泄露甲方的任何商业秘密或技术秘密。</w:t>
      </w:r>
    </w:p>
    <w:p w14:paraId="7AD10A19">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1.7甲方工作人员不得默许或与乙方或其工作人员串通，为其谋取不正当利益。</w:t>
      </w:r>
    </w:p>
    <w:p w14:paraId="3423D65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第二条乙方承诺</w:t>
      </w:r>
    </w:p>
    <w:p w14:paraId="4744CE8A">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2.1严格遵守国家有关廉政规定。</w:t>
      </w:r>
    </w:p>
    <w:p w14:paraId="3C69DB8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2.2乙方及其工作人员不向甲方、甲方工作人员或其亲属提供礼品、礼金（礼券）、有价证券等任何形式的馈赠或无偿服务；不报销应当由甲方、甲方工作人员或其亲属个人支付的费用；不为甲方、甲方工作人员或其亲属安排旅游或消费娱乐活动；不宴请甲方、甲方工作人员或其亲属；不为甲方工作人员或其亲属在住房、交通、婚丧嫁娶活动、工作安排或经商办企业等方面提供任何形式的方便；不为甲方工作人员或其亲属谋取利益。</w:t>
      </w:r>
    </w:p>
    <w:p w14:paraId="0B00B8BF">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2.3合同签订及履行期间不私下约见甲方工作人员；不到甲方工作人员家中或其他非办公场所商谈业务。</w:t>
      </w:r>
    </w:p>
    <w:p w14:paraId="1B28CD9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2.4不通过中介公司或任何单位、个人向甲方工作人员打招呼，施加压力。</w:t>
      </w:r>
    </w:p>
    <w:p w14:paraId="6A80E212">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2.5除甲方依据合同约定依法披露外，不向甲方、甲方工作人员或其亲属探听或要求其泄露甲方的任何商业秘密或技术秘密。</w:t>
      </w:r>
    </w:p>
    <w:p w14:paraId="61E52A6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2.6不以任何方式与甲方工作人员串通或者贿赂甲方工作人员，为乙方或其工作人员谋取不正当利益。</w:t>
      </w:r>
    </w:p>
    <w:p w14:paraId="4241B341">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2.7除乙方及其工作人员外，乙方应当督促并保证与乙方存在关联关系的其他单位或个人不得实施本合同第二条约定的任一行为。</w:t>
      </w:r>
    </w:p>
    <w:p w14:paraId="7FEF2D40">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第三条 监督及责任</w:t>
      </w:r>
    </w:p>
    <w:p w14:paraId="159E6AAD">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3.1甲乙双方自觉接受监督。</w:t>
      </w:r>
    </w:p>
    <w:p w14:paraId="549B1454">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3.2如发现任何违反本合同的行为，双方均可向甲方监察部门举报。甲方监察部门根据规定，视情节对相关人员予以相应组织处理或纪律处分。涉嫌犯罪的，依法移送司法机关追究刑事责任。给对方造成经济损失的，应当予以赔偿。</w:t>
      </w:r>
    </w:p>
    <w:p w14:paraId="653B0066">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3.3甲方监察部门有权对合同签订及履行全过程进行监督，有权制止、纠正违反本合同的行为。</w:t>
      </w:r>
    </w:p>
    <w:p w14:paraId="1CBA2E9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3.4如乙方违反本合同约定，甲方有权视情节采取终止合同、将乙方纳入甲方违规失信合作商名单、否决乙方参加甲方其他项目的投标、参选和报价等1至3年等措施。</w:t>
      </w:r>
    </w:p>
    <w:p w14:paraId="04650EEE">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第四条其他</w:t>
      </w:r>
    </w:p>
    <w:p w14:paraId="3EE9E207">
      <w:pPr>
        <w:spacing w:line="360" w:lineRule="exact"/>
        <w:ind w:firstLine="480" w:firstLineChars="200"/>
        <w:rPr>
          <w:rFonts w:ascii="仿宋" w:hAnsi="仿宋" w:eastAsia="仿宋" w:cs="Times New Roman"/>
          <w:sz w:val="24"/>
        </w:rPr>
      </w:pPr>
      <w:r>
        <w:rPr>
          <w:rFonts w:hint="eastAsia" w:ascii="仿宋" w:hAnsi="仿宋" w:eastAsia="仿宋" w:cs="Times New Roman"/>
          <w:sz w:val="24"/>
        </w:rPr>
        <w:t>本协议自双方签字盖章（若使用电子印章的，经双方盖章）后与合同同时生效。若甲方加盖电子印章的，以加盖甲方电子印章的本协议电子文档所载内容为准。</w:t>
      </w:r>
    </w:p>
    <w:p w14:paraId="6FE57ADE">
      <w:pPr>
        <w:spacing w:line="360" w:lineRule="exact"/>
        <w:rPr>
          <w:rFonts w:ascii="仿宋" w:hAnsi="仿宋" w:eastAsia="仿宋" w:cs="Times New Roman"/>
          <w:sz w:val="24"/>
        </w:rPr>
      </w:pPr>
    </w:p>
    <w:p w14:paraId="4BDA2D71">
      <w:pPr>
        <w:spacing w:line="360" w:lineRule="exact"/>
        <w:rPr>
          <w:rFonts w:ascii="仿宋" w:hAnsi="仿宋" w:eastAsia="仿宋" w:cs="Times New Roman"/>
          <w:sz w:val="24"/>
        </w:rPr>
      </w:pPr>
      <w:r>
        <w:rPr>
          <w:rFonts w:hint="eastAsia" w:ascii="仿宋" w:hAnsi="仿宋" w:eastAsia="仿宋" w:cs="Times New Roman"/>
          <w:sz w:val="24"/>
        </w:rPr>
        <w:t>甲方：中国电信[</w:t>
      </w:r>
      <w:r>
        <w:rPr>
          <w:rFonts w:hint="eastAsia" w:ascii="仿宋" w:hAnsi="仿宋" w:eastAsia="仿宋" w:cs="Times New Roman"/>
          <w:sz w:val="24"/>
          <w:lang w:val="en-US" w:eastAsia="zh-CN"/>
        </w:rPr>
        <w:t>股份有限公司遵义分</w:t>
      </w:r>
      <w:r>
        <w:rPr>
          <w:rFonts w:hint="eastAsia" w:ascii="仿宋" w:hAnsi="仿宋" w:eastAsia="仿宋" w:cs="Times New Roman"/>
          <w:sz w:val="24"/>
        </w:rPr>
        <w:t>]公司</w:t>
      </w:r>
      <w:r>
        <w:rPr>
          <w:rFonts w:hint="eastAsia" w:ascii="仿宋" w:hAnsi="仿宋" w:eastAsia="仿宋" w:cs="Times New Roman"/>
          <w:sz w:val="24"/>
        </w:rPr>
        <w:tab/>
      </w:r>
      <w:r>
        <w:rPr>
          <w:rFonts w:hint="eastAsia" w:ascii="仿宋" w:hAnsi="仿宋" w:eastAsia="仿宋" w:cs="Times New Roman"/>
          <w:sz w:val="24"/>
        </w:rPr>
        <w:tab/>
      </w:r>
      <w:r>
        <w:rPr>
          <w:rFonts w:hint="eastAsia" w:ascii="仿宋" w:hAnsi="仿宋" w:eastAsia="仿宋" w:cs="Times New Roman"/>
          <w:sz w:val="24"/>
        </w:rPr>
        <w:tab/>
      </w:r>
    </w:p>
    <w:p w14:paraId="776533BD">
      <w:pPr>
        <w:spacing w:line="360" w:lineRule="exact"/>
        <w:rPr>
          <w:rFonts w:ascii="仿宋" w:hAnsi="仿宋" w:eastAsia="仿宋" w:cs="Times New Roman"/>
          <w:sz w:val="24"/>
        </w:rPr>
      </w:pPr>
      <w:r>
        <w:rPr>
          <w:rFonts w:hint="eastAsia" w:ascii="仿宋" w:hAnsi="仿宋" w:eastAsia="仿宋" w:cs="Times New Roman"/>
          <w:sz w:val="24"/>
        </w:rPr>
        <w:t xml:space="preserve">法定代表人/负责人               </w:t>
      </w:r>
    </w:p>
    <w:p w14:paraId="64B77921">
      <w:pPr>
        <w:spacing w:line="360" w:lineRule="exact"/>
        <w:rPr>
          <w:rFonts w:ascii="仿宋" w:hAnsi="仿宋" w:eastAsia="仿宋" w:cs="Times New Roman"/>
          <w:sz w:val="24"/>
        </w:rPr>
      </w:pPr>
      <w:r>
        <w:rPr>
          <w:rFonts w:hint="eastAsia" w:ascii="仿宋" w:hAnsi="仿宋" w:eastAsia="仿宋" w:cs="Times New Roman"/>
          <w:sz w:val="24"/>
        </w:rPr>
        <w:t>或授权代表：</w:t>
      </w:r>
    </w:p>
    <w:p w14:paraId="4E856C65">
      <w:pPr>
        <w:spacing w:line="360" w:lineRule="exact"/>
        <w:rPr>
          <w:rFonts w:ascii="仿宋" w:hAnsi="仿宋" w:eastAsia="仿宋" w:cs="Times New Roman"/>
          <w:sz w:val="24"/>
        </w:rPr>
      </w:pPr>
    </w:p>
    <w:p w14:paraId="2DD58B75">
      <w:pPr>
        <w:spacing w:line="360" w:lineRule="exact"/>
        <w:rPr>
          <w:rFonts w:ascii="仿宋" w:hAnsi="仿宋" w:eastAsia="仿宋" w:cs="Times New Roman"/>
          <w:sz w:val="24"/>
        </w:rPr>
      </w:pPr>
    </w:p>
    <w:p w14:paraId="2269AA6C">
      <w:pPr>
        <w:spacing w:line="360" w:lineRule="exact"/>
        <w:rPr>
          <w:rFonts w:ascii="仿宋" w:hAnsi="仿宋" w:eastAsia="仿宋" w:cs="Times New Roman"/>
          <w:sz w:val="24"/>
        </w:rPr>
      </w:pPr>
      <w:r>
        <w:rPr>
          <w:rFonts w:hint="eastAsia" w:ascii="仿宋" w:hAnsi="仿宋" w:eastAsia="仿宋" w:cs="Times New Roman"/>
          <w:sz w:val="24"/>
        </w:rPr>
        <w:t>乙方：[</w:t>
      </w:r>
      <w:r>
        <w:rPr>
          <w:rFonts w:hint="eastAsia" w:ascii="仿宋" w:hAnsi="仿宋" w:eastAsia="仿宋" w:cs="Times New Roman"/>
          <w:sz w:val="24"/>
          <w:lang w:eastAsia="zh-CN"/>
        </w:rPr>
        <w:t xml:space="preserve">         </w:t>
      </w:r>
      <w:r>
        <w:rPr>
          <w:rFonts w:hint="eastAsia" w:ascii="仿宋" w:hAnsi="仿宋" w:eastAsia="仿宋" w:cs="Times New Roman"/>
          <w:sz w:val="24"/>
        </w:rPr>
        <w:t xml:space="preserve">]    </w:t>
      </w:r>
    </w:p>
    <w:p w14:paraId="661B5E6D">
      <w:pPr>
        <w:spacing w:line="360" w:lineRule="exact"/>
        <w:rPr>
          <w:rFonts w:ascii="仿宋" w:hAnsi="仿宋" w:eastAsia="仿宋" w:cs="Times New Roman"/>
          <w:sz w:val="24"/>
        </w:rPr>
      </w:pPr>
      <w:r>
        <w:rPr>
          <w:rFonts w:hint="eastAsia" w:ascii="仿宋" w:hAnsi="仿宋" w:eastAsia="仿宋" w:cs="Times New Roman"/>
          <w:sz w:val="24"/>
        </w:rPr>
        <w:t>法定代表人/负责人</w:t>
      </w:r>
    </w:p>
    <w:p w14:paraId="7F9B1F9F">
      <w:pPr>
        <w:spacing w:line="360" w:lineRule="exact"/>
        <w:rPr>
          <w:rFonts w:ascii="仿宋" w:hAnsi="仿宋" w:eastAsia="仿宋" w:cs="Times New Roman"/>
          <w:color w:val="000000"/>
        </w:rPr>
      </w:pPr>
      <w:r>
        <w:rPr>
          <w:rFonts w:hint="eastAsia" w:ascii="仿宋" w:hAnsi="仿宋" w:eastAsia="仿宋" w:cs="Times New Roman"/>
          <w:sz w:val="24"/>
        </w:rPr>
        <w:t>或授权代表：</w:t>
      </w:r>
    </w:p>
    <w:p w14:paraId="4988AC19">
      <w:pPr>
        <w:rPr>
          <w:rFonts w:hint="eastAsia" w:ascii="仿宋" w:hAnsi="仿宋" w:eastAsia="仿宋"/>
          <w:sz w:val="24"/>
          <w:lang w:val="en-US" w:eastAsia="zh-CN"/>
        </w:rPr>
      </w:pPr>
      <w:r>
        <w:rPr>
          <w:rFonts w:hint="eastAsia" w:ascii="仿宋" w:hAnsi="仿宋" w:eastAsia="仿宋"/>
          <w:sz w:val="24"/>
          <w:lang w:val="en-US" w:eastAsia="zh-CN"/>
        </w:rPr>
        <w:t xml:space="preserve"> </w:t>
      </w:r>
    </w:p>
    <w:p w14:paraId="76E91A6F">
      <w:pPr>
        <w:rPr>
          <w:rFonts w:hint="eastAsia" w:ascii="仿宋" w:hAnsi="仿宋" w:eastAsia="仿宋"/>
          <w:sz w:val="24"/>
          <w:lang w:val="en-US" w:eastAsia="zh-CN"/>
        </w:rPr>
      </w:pPr>
      <w:r>
        <w:rPr>
          <w:rFonts w:hint="eastAsia" w:ascii="仿宋" w:hAnsi="仿宋" w:eastAsia="仿宋"/>
          <w:sz w:val="24"/>
          <w:lang w:val="en-US" w:eastAsia="zh-CN"/>
        </w:rPr>
        <w:br w:type="page"/>
      </w:r>
    </w:p>
    <w:p w14:paraId="1C35D410">
      <w:pPr>
        <w:rPr>
          <w:rFonts w:hint="default" w:ascii="仿宋" w:hAnsi="仿宋" w:eastAsia="仿宋"/>
          <w:sz w:val="24"/>
          <w:lang w:val="en-US" w:eastAsia="zh-CN"/>
        </w:rPr>
      </w:pPr>
    </w:p>
    <w:p w14:paraId="5682FC03">
      <w:pPr>
        <w:spacing w:after="120" w:line="360" w:lineRule="exact"/>
        <w:contextualSpacing/>
        <w:jc w:val="left"/>
        <w:rPr>
          <w:rFonts w:hint="eastAsia" w:ascii="仿宋" w:hAnsi="仿宋" w:eastAsia="仿宋" w:cs="Times New Roman"/>
          <w:b/>
          <w:bCs/>
          <w:sz w:val="24"/>
          <w:szCs w:val="24"/>
        </w:rPr>
      </w:pPr>
      <w:r>
        <w:rPr>
          <w:rFonts w:hint="eastAsia" w:ascii="仿宋" w:hAnsi="仿宋" w:eastAsia="仿宋" w:cs="仿宋"/>
          <w:b/>
          <w:bCs/>
          <w:sz w:val="24"/>
          <w:szCs w:val="24"/>
        </w:rPr>
        <w:t>附件</w:t>
      </w:r>
      <w:r>
        <w:rPr>
          <w:rFonts w:hint="eastAsia" w:ascii="仿宋" w:hAnsi="仿宋" w:eastAsia="仿宋" w:cs="仿宋"/>
          <w:b/>
          <w:bCs/>
          <w:sz w:val="24"/>
          <w:szCs w:val="24"/>
          <w:lang w:val="en-US" w:eastAsia="zh-CN"/>
        </w:rPr>
        <w:t>九</w:t>
      </w:r>
      <w:r>
        <w:rPr>
          <w:rFonts w:hint="eastAsia" w:ascii="仿宋" w:hAnsi="仿宋" w:eastAsia="仿宋" w:cs="仿宋"/>
          <w:b/>
          <w:bCs/>
          <w:sz w:val="24"/>
          <w:szCs w:val="24"/>
        </w:rPr>
        <w:t xml:space="preserve"> </w:t>
      </w:r>
      <w:r>
        <w:rPr>
          <w:rFonts w:hint="eastAsia" w:ascii="仿宋" w:hAnsi="仿宋" w:eastAsia="仿宋" w:cs="仿宋"/>
          <w:b/>
          <w:bCs/>
          <w:sz w:val="24"/>
          <w:szCs w:val="24"/>
          <w:lang w:val="en-US" w:eastAsia="zh-CN"/>
        </w:rPr>
        <w:t>响应</w:t>
      </w:r>
      <w:r>
        <w:rPr>
          <w:rFonts w:hint="eastAsia" w:ascii="仿宋" w:hAnsi="仿宋" w:eastAsia="仿宋" w:cs="Times New Roman"/>
          <w:b/>
          <w:bCs/>
          <w:sz w:val="24"/>
          <w:szCs w:val="24"/>
        </w:rPr>
        <w:t>文件正偏离信息表</w:t>
      </w:r>
    </w:p>
    <w:p w14:paraId="0A090949">
      <w:pPr>
        <w:rPr>
          <w:rFonts w:hint="eastAsia" w:cs="宋体" w:asciiTheme="minorEastAsia" w:hAnsiTheme="minorEastAsia" w:eastAsiaTheme="minorEastAsia"/>
          <w:b/>
          <w:bCs w:val="0"/>
          <w:kern w:val="0"/>
          <w:sz w:val="28"/>
          <w:szCs w:val="28"/>
        </w:rPr>
      </w:pPr>
      <w:r>
        <w:rPr>
          <w:rFonts w:hint="eastAsia" w:cs="宋体" w:asciiTheme="minorEastAsia" w:hAnsiTheme="minorEastAsia" w:eastAsiaTheme="minorEastAsia"/>
          <w:b/>
          <w:bCs w:val="0"/>
          <w:kern w:val="0"/>
          <w:sz w:val="28"/>
          <w:szCs w:val="28"/>
        </w:rPr>
        <w:br w:type="page"/>
      </w:r>
    </w:p>
    <w:p w14:paraId="1E4230CB">
      <w:pPr>
        <w:pStyle w:val="47"/>
        <w:snapToGrid w:val="0"/>
        <w:spacing w:before="120" w:after="120"/>
        <w:rPr>
          <w:kern w:val="0"/>
          <w:sz w:val="24"/>
        </w:rPr>
      </w:pPr>
      <w:bookmarkStart w:id="1537" w:name="_Toc4778"/>
      <w:bookmarkStart w:id="1538" w:name="_Toc8216"/>
      <w:bookmarkStart w:id="1539" w:name="_Toc24699"/>
      <w:bookmarkStart w:id="1540" w:name="_Toc31978"/>
      <w:bookmarkStart w:id="1541" w:name="_Toc23768"/>
      <w:bookmarkStart w:id="1542" w:name="_Toc16638"/>
      <w:bookmarkStart w:id="1543" w:name="_Toc22933"/>
      <w:bookmarkStart w:id="1544" w:name="_Toc10039"/>
      <w:bookmarkStart w:id="1545" w:name="_Toc16204"/>
      <w:bookmarkStart w:id="1546" w:name="_Toc15138"/>
      <w:bookmarkStart w:id="1547" w:name="_Toc23875"/>
      <w:bookmarkStart w:id="1548" w:name="_Toc22045"/>
      <w:r>
        <w:rPr>
          <w:rFonts w:hint="eastAsia" w:cs="宋体" w:asciiTheme="minorEastAsia" w:hAnsiTheme="minorEastAsia" w:eastAsiaTheme="minorEastAsia"/>
          <w:b/>
          <w:bCs w:val="0"/>
          <w:kern w:val="0"/>
          <w:sz w:val="28"/>
          <w:szCs w:val="28"/>
        </w:rPr>
        <w:t>第五章 技术规范书</w:t>
      </w:r>
      <w:bookmarkEnd w:id="1524"/>
      <w:bookmarkEnd w:id="1525"/>
      <w:bookmarkEnd w:id="1537"/>
      <w:bookmarkEnd w:id="1538"/>
      <w:bookmarkEnd w:id="1539"/>
      <w:bookmarkEnd w:id="1540"/>
      <w:bookmarkEnd w:id="1541"/>
      <w:bookmarkEnd w:id="1542"/>
      <w:bookmarkEnd w:id="1543"/>
      <w:bookmarkEnd w:id="1544"/>
      <w:bookmarkEnd w:id="1545"/>
      <w:bookmarkEnd w:id="1546"/>
      <w:bookmarkEnd w:id="1547"/>
      <w:bookmarkEnd w:id="1548"/>
      <w:bookmarkStart w:id="1549" w:name="_Toc206818244"/>
      <w:bookmarkStart w:id="1550" w:name="_Toc144199752"/>
    </w:p>
    <w:bookmarkEnd w:id="1549"/>
    <w:bookmarkEnd w:id="1550"/>
    <w:p w14:paraId="75178B94">
      <w:pPr>
        <w:keepNext/>
        <w:keepLines/>
        <w:widowControl w:val="0"/>
        <w:spacing w:before="260" w:after="260" w:line="416" w:lineRule="auto"/>
        <w:jc w:val="both"/>
        <w:outlineLvl w:val="1"/>
        <w:rPr>
          <w:rFonts w:hint="eastAsia" w:ascii="宋体" w:hAnsi="宋体" w:eastAsia="宋体" w:cs="宋体"/>
          <w:b/>
          <w:bCs/>
          <w:kern w:val="0"/>
          <w:sz w:val="21"/>
          <w:szCs w:val="21"/>
          <w:lang w:val="en-US" w:eastAsia="zh-CN" w:bidi="ar-SA"/>
        </w:rPr>
      </w:pPr>
      <w:bookmarkStart w:id="1551" w:name="_Toc22820"/>
      <w:bookmarkStart w:id="1552" w:name="_Toc11301"/>
      <w:r>
        <w:rPr>
          <w:rFonts w:hint="eastAsia" w:ascii="宋体" w:hAnsi="宋体" w:eastAsia="宋体" w:cs="宋体"/>
          <w:b/>
          <w:bCs/>
          <w:kern w:val="0"/>
          <w:sz w:val="21"/>
          <w:szCs w:val="21"/>
          <w:lang w:val="en-US" w:eastAsia="zh-CN" w:bidi="ar-SA"/>
        </w:rPr>
        <w:t>1总则</w:t>
      </w:r>
      <w:bookmarkEnd w:id="1551"/>
      <w:bookmarkEnd w:id="1552"/>
    </w:p>
    <w:p w14:paraId="02B663CB">
      <w:pPr>
        <w:keepNext/>
        <w:keepLines/>
        <w:widowControl w:val="0"/>
        <w:spacing w:before="260" w:after="260" w:line="413" w:lineRule="auto"/>
        <w:jc w:val="both"/>
        <w:outlineLvl w:val="2"/>
        <w:rPr>
          <w:rFonts w:hint="eastAsia" w:ascii="宋体" w:hAnsi="宋体" w:eastAsia="宋体" w:cs="宋体"/>
          <w:b/>
          <w:kern w:val="2"/>
          <w:sz w:val="21"/>
          <w:szCs w:val="21"/>
          <w:lang w:val="en-US" w:eastAsia="zh-CN" w:bidi="ar-SA"/>
        </w:rPr>
      </w:pPr>
      <w:bookmarkStart w:id="1553" w:name="_Toc12555"/>
      <w:bookmarkStart w:id="1554" w:name="_Toc5407"/>
      <w:r>
        <w:rPr>
          <w:rFonts w:hint="eastAsia" w:ascii="宋体" w:hAnsi="宋体" w:eastAsia="宋体" w:cs="宋体"/>
          <w:b/>
          <w:kern w:val="2"/>
          <w:sz w:val="21"/>
          <w:szCs w:val="21"/>
          <w:lang w:val="en-US" w:eastAsia="zh-CN" w:bidi="ar-SA"/>
        </w:rPr>
        <w:t>1.1概述</w:t>
      </w:r>
      <w:bookmarkEnd w:id="1553"/>
      <w:bookmarkEnd w:id="1554"/>
    </w:p>
    <w:p w14:paraId="642AA949">
      <w:pPr>
        <w:rPr>
          <w:rFonts w:hint="eastAsia" w:ascii="宋体" w:hAnsi="宋体" w:eastAsia="宋体" w:cs="宋体"/>
          <w:color w:val="000000"/>
          <w:sz w:val="21"/>
          <w:szCs w:val="21"/>
        </w:rPr>
      </w:pPr>
      <w:r>
        <w:rPr>
          <w:rFonts w:hint="eastAsia" w:ascii="宋体" w:hAnsi="宋体" w:eastAsia="宋体" w:cs="宋体"/>
          <w:color w:val="000000"/>
          <w:sz w:val="21"/>
          <w:szCs w:val="21"/>
        </w:rPr>
        <w:t>1、本文件是中国电信股份有限公司遵义分公司（以下简称甲方）为</w:t>
      </w:r>
      <w:r>
        <w:rPr>
          <w:rFonts w:hint="eastAsia" w:ascii="宋体" w:hAnsi="宋体" w:eastAsia="宋体" w:cs="宋体"/>
          <w:color w:val="000000"/>
          <w:sz w:val="21"/>
          <w:szCs w:val="21"/>
          <w:highlight w:val="none"/>
          <w:lang w:eastAsia="zh-CN"/>
        </w:rPr>
        <w:t>湄潭县中西医结合医院床旁结算系统建设项目</w:t>
      </w:r>
      <w:r>
        <w:rPr>
          <w:rFonts w:hint="eastAsia" w:ascii="宋体" w:hAnsi="宋体" w:eastAsia="宋体" w:cs="宋体"/>
          <w:color w:val="000000"/>
          <w:sz w:val="21"/>
          <w:szCs w:val="21"/>
          <w:highlight w:val="none"/>
        </w:rPr>
        <w:t>制定的技</w:t>
      </w:r>
      <w:r>
        <w:rPr>
          <w:rFonts w:hint="eastAsia" w:ascii="宋体" w:hAnsi="宋体" w:eastAsia="宋体" w:cs="宋体"/>
          <w:color w:val="000000"/>
          <w:sz w:val="21"/>
          <w:szCs w:val="21"/>
        </w:rPr>
        <w:t>术规范书，提供本项目的公司（以下称乙方）应对技术规范书中的各项要求做出详细答复。</w:t>
      </w:r>
    </w:p>
    <w:p w14:paraId="3FA750BE">
      <w:pPr>
        <w:rPr>
          <w:rFonts w:hint="eastAsia" w:ascii="宋体" w:hAnsi="宋体" w:eastAsia="宋体" w:cs="宋体"/>
          <w:color w:val="000000"/>
          <w:sz w:val="21"/>
          <w:szCs w:val="21"/>
        </w:rPr>
      </w:pPr>
      <w:r>
        <w:rPr>
          <w:rFonts w:hint="eastAsia" w:ascii="宋体" w:hAnsi="宋体" w:eastAsia="宋体" w:cs="宋体"/>
          <w:color w:val="000000"/>
          <w:sz w:val="21"/>
          <w:szCs w:val="21"/>
        </w:rPr>
        <w:t>2、本技术规范书给出了甲方对</w:t>
      </w:r>
      <w:r>
        <w:rPr>
          <w:rFonts w:hint="eastAsia" w:ascii="宋体" w:hAnsi="宋体" w:eastAsia="宋体" w:cs="宋体"/>
          <w:color w:val="000000"/>
          <w:sz w:val="21"/>
          <w:szCs w:val="21"/>
          <w:lang w:eastAsia="zh-CN"/>
        </w:rPr>
        <w:t>湄潭县中西医结合医院床旁结算系统建设项目</w:t>
      </w:r>
      <w:r>
        <w:rPr>
          <w:rFonts w:hint="eastAsia" w:ascii="宋体" w:hAnsi="宋体" w:eastAsia="宋体" w:cs="宋体"/>
          <w:color w:val="000000"/>
          <w:sz w:val="21"/>
          <w:szCs w:val="21"/>
        </w:rPr>
        <w:t>的各项要求，以供乙方编制技术建议书及商务报价之用。乙方应按照本技术规范书要求并结合自己所能提供的服务，给出详细的技术建议书。</w:t>
      </w:r>
    </w:p>
    <w:p w14:paraId="421EEDCC">
      <w:pPr>
        <w:rPr>
          <w:rFonts w:hint="eastAsia" w:ascii="宋体" w:hAnsi="宋体" w:eastAsia="宋体" w:cs="宋体"/>
          <w:color w:val="000000"/>
          <w:sz w:val="21"/>
          <w:szCs w:val="21"/>
        </w:rPr>
      </w:pPr>
      <w:r>
        <w:rPr>
          <w:rFonts w:hint="eastAsia" w:ascii="宋体" w:hAnsi="宋体" w:eastAsia="宋体" w:cs="宋体"/>
          <w:color w:val="000000"/>
          <w:sz w:val="21"/>
          <w:szCs w:val="21"/>
        </w:rPr>
        <w:t>3、本技术规范书编制依据及相关要求如下：</w:t>
      </w:r>
    </w:p>
    <w:p w14:paraId="4C34539D">
      <w:pPr>
        <w:rPr>
          <w:rFonts w:hint="eastAsia" w:ascii="宋体" w:hAnsi="宋体" w:eastAsia="宋体" w:cs="宋体"/>
          <w:color w:val="000000"/>
          <w:sz w:val="21"/>
          <w:szCs w:val="21"/>
        </w:rPr>
      </w:pPr>
      <w:r>
        <w:rPr>
          <w:rFonts w:hint="eastAsia" w:ascii="宋体" w:hAnsi="宋体" w:eastAsia="宋体" w:cs="宋体"/>
          <w:color w:val="000000"/>
          <w:sz w:val="21"/>
          <w:szCs w:val="21"/>
        </w:rPr>
        <w:t>国标、行业标准、企业标准等，对以上规范的扩展定义及版本升级，乙方应予以支持，另外：</w:t>
      </w:r>
    </w:p>
    <w:p w14:paraId="090C7295">
      <w:pPr>
        <w:rPr>
          <w:rFonts w:hint="eastAsia" w:ascii="宋体" w:hAnsi="宋体" w:eastAsia="宋体" w:cs="宋体"/>
          <w:color w:val="000000"/>
          <w:sz w:val="21"/>
          <w:szCs w:val="21"/>
        </w:rPr>
      </w:pPr>
      <w:r>
        <w:rPr>
          <w:rFonts w:hint="eastAsia" w:ascii="宋体" w:hAnsi="宋体" w:eastAsia="宋体" w:cs="宋体"/>
          <w:color w:val="000000"/>
          <w:sz w:val="21"/>
          <w:szCs w:val="21"/>
        </w:rPr>
        <w:t>（1）若乙方需提供额外服务和自己的专用标准，应在其技术建议书中具体说明，并附上相应的详细技术资料。</w:t>
      </w:r>
    </w:p>
    <w:p w14:paraId="100676AE">
      <w:pPr>
        <w:rPr>
          <w:rFonts w:hint="eastAsia" w:ascii="宋体" w:hAnsi="宋体" w:eastAsia="宋体" w:cs="宋体"/>
          <w:color w:val="000000"/>
          <w:sz w:val="21"/>
          <w:szCs w:val="21"/>
        </w:rPr>
      </w:pPr>
      <w:r>
        <w:rPr>
          <w:rFonts w:hint="eastAsia" w:ascii="宋体" w:hAnsi="宋体" w:eastAsia="宋体" w:cs="宋体"/>
          <w:color w:val="000000"/>
          <w:sz w:val="21"/>
          <w:szCs w:val="21"/>
        </w:rPr>
        <w:t>（2）此规范书中未说明，但相关标准（如ISO、ITU-T（</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HYPERLINK "https://baike.baidu.com/item/%E5%9B%BD%E9%99%85%E7%94%B5%E4%BF%A1%E8%81%94%E7%9B%9F" \t "_blank" </w:instrText>
      </w:r>
      <w:r>
        <w:rPr>
          <w:rFonts w:hint="eastAsia" w:ascii="宋体" w:hAnsi="宋体" w:eastAsia="宋体" w:cs="宋体"/>
          <w:sz w:val="21"/>
          <w:szCs w:val="21"/>
        </w:rPr>
        <w:fldChar w:fldCharType="separate"/>
      </w:r>
      <w:r>
        <w:rPr>
          <w:rFonts w:hint="eastAsia" w:ascii="宋体" w:hAnsi="宋体" w:eastAsia="宋体" w:cs="宋体"/>
          <w:color w:val="000000"/>
          <w:sz w:val="21"/>
          <w:szCs w:val="21"/>
        </w:rPr>
        <w:t>国际电信联盟</w:t>
      </w:r>
      <w:r>
        <w:rPr>
          <w:rFonts w:hint="eastAsia" w:ascii="宋体" w:hAnsi="宋体" w:eastAsia="宋体" w:cs="宋体"/>
          <w:color w:val="000000"/>
          <w:sz w:val="21"/>
          <w:szCs w:val="21"/>
        </w:rPr>
        <w:fldChar w:fldCharType="end"/>
      </w:r>
      <w:r>
        <w:rPr>
          <w:rFonts w:hint="eastAsia" w:ascii="宋体" w:hAnsi="宋体" w:eastAsia="宋体" w:cs="宋体"/>
          <w:color w:val="000000"/>
          <w:sz w:val="21"/>
          <w:szCs w:val="21"/>
        </w:rPr>
        <w:t>电信标准分局）、国标、通信行业标准等）已有建议和要求的服务性能和功能的条款，应符合相应的最新标准与建议。</w:t>
      </w:r>
    </w:p>
    <w:p w14:paraId="33A7EA26">
      <w:pPr>
        <w:rPr>
          <w:rFonts w:hint="eastAsia" w:ascii="宋体" w:hAnsi="宋体" w:eastAsia="宋体" w:cs="宋体"/>
          <w:color w:val="000000"/>
          <w:sz w:val="21"/>
          <w:szCs w:val="21"/>
        </w:rPr>
      </w:pPr>
      <w:r>
        <w:rPr>
          <w:rFonts w:hint="eastAsia" w:ascii="宋体" w:hAnsi="宋体" w:eastAsia="宋体" w:cs="宋体"/>
          <w:color w:val="000000"/>
          <w:sz w:val="21"/>
          <w:szCs w:val="21"/>
        </w:rPr>
        <w:t>4、乙方对于规范书的疑问可以通过书面材料在本项目澄清时限内与甲方联系，甲方将以书面材料给予答复。</w:t>
      </w:r>
    </w:p>
    <w:p w14:paraId="1C47517A">
      <w:pPr>
        <w:rPr>
          <w:rFonts w:hint="eastAsia" w:ascii="宋体" w:hAnsi="宋体" w:eastAsia="宋体" w:cs="宋体"/>
          <w:color w:val="000000"/>
          <w:sz w:val="21"/>
          <w:szCs w:val="21"/>
        </w:rPr>
      </w:pPr>
      <w:r>
        <w:rPr>
          <w:rFonts w:hint="eastAsia" w:ascii="宋体" w:hAnsi="宋体" w:eastAsia="宋体" w:cs="宋体"/>
          <w:color w:val="000000"/>
          <w:sz w:val="21"/>
          <w:szCs w:val="21"/>
        </w:rPr>
        <w:t>5、在任何时候，甲方保留对本文件的解释权和修改权。甲方有权根据需要修改和补充技术规范书，并以书面形式进行补充澄清，补充澄清后的最终技术规范书将作为合同的附件。在规范书进行修改后，甲方可按照管理要求延长项目相关文件提交的最后期限，以便乙方有充分的时间准备相关文件。</w:t>
      </w:r>
    </w:p>
    <w:p w14:paraId="5818960C">
      <w:pPr>
        <w:rPr>
          <w:rFonts w:hint="eastAsia" w:ascii="宋体" w:hAnsi="宋体" w:eastAsia="宋体" w:cs="宋体"/>
          <w:color w:val="000000"/>
          <w:sz w:val="21"/>
          <w:szCs w:val="21"/>
        </w:rPr>
      </w:pPr>
      <w:r>
        <w:rPr>
          <w:rFonts w:hint="eastAsia" w:ascii="宋体" w:hAnsi="宋体" w:eastAsia="宋体" w:cs="宋体"/>
          <w:color w:val="000000"/>
          <w:sz w:val="21"/>
          <w:szCs w:val="21"/>
        </w:rPr>
        <w:t>6、本技术规范书在内容或技术指标上如果存在错误（包括印刷错误），乙方可在技术建议书中提出，经双方确认后可对该错误内容或技术指标进行修正。</w:t>
      </w:r>
    </w:p>
    <w:p w14:paraId="7A770AFB">
      <w:pPr>
        <w:rPr>
          <w:rFonts w:hint="eastAsia" w:ascii="宋体" w:hAnsi="宋体" w:eastAsia="宋体" w:cs="宋体"/>
          <w:color w:val="000000"/>
          <w:sz w:val="21"/>
          <w:szCs w:val="21"/>
        </w:rPr>
      </w:pPr>
      <w:r>
        <w:rPr>
          <w:rFonts w:hint="eastAsia" w:ascii="宋体" w:hAnsi="宋体" w:eastAsia="宋体" w:cs="宋体"/>
          <w:color w:val="000000"/>
          <w:sz w:val="21"/>
          <w:szCs w:val="21"/>
        </w:rPr>
        <w:t>7、乙方在参与本项目中，对于甲方披露和提供的所有信息（包括本规范书）应作为商业秘密对待并予以保护，未经甲方授权不得将任何信息泄漏给第三方，否则甲方有权追究乙方的责任。</w:t>
      </w:r>
    </w:p>
    <w:p w14:paraId="4AD45011">
      <w:pPr>
        <w:rPr>
          <w:rFonts w:hint="eastAsia" w:ascii="宋体" w:hAnsi="宋体" w:eastAsia="宋体" w:cs="宋体"/>
          <w:color w:val="000000"/>
          <w:sz w:val="21"/>
          <w:szCs w:val="21"/>
        </w:rPr>
      </w:pPr>
      <w:r>
        <w:rPr>
          <w:rFonts w:hint="eastAsia" w:ascii="宋体" w:hAnsi="宋体" w:eastAsia="宋体" w:cs="宋体"/>
          <w:color w:val="000000"/>
          <w:sz w:val="21"/>
          <w:szCs w:val="21"/>
        </w:rPr>
        <w:t>8、所有由乙方提供的产品（由乙方提供的解决方案中所涉及到的所有项目包括的服务等）所引发的知识产权纠纷由乙方负责，甲方对此不承担任何责任。</w:t>
      </w:r>
      <w:bookmarkStart w:id="1555" w:name="_Toc206818246"/>
      <w:bookmarkStart w:id="1556" w:name="_Toc292143839"/>
      <w:bookmarkStart w:id="1557" w:name="_Toc477415384"/>
      <w:bookmarkStart w:id="1558" w:name="_Toc144199754"/>
    </w:p>
    <w:bookmarkEnd w:id="1555"/>
    <w:bookmarkEnd w:id="1556"/>
    <w:bookmarkEnd w:id="1557"/>
    <w:bookmarkEnd w:id="1558"/>
    <w:p w14:paraId="598A93DC">
      <w:pPr>
        <w:keepNext/>
        <w:keepLines/>
        <w:widowControl w:val="0"/>
        <w:numPr>
          <w:ilvl w:val="2"/>
          <w:numId w:val="0"/>
        </w:numPr>
        <w:spacing w:before="260" w:after="260" w:line="413"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1559" w:name="_Toc9127"/>
      <w:bookmarkStart w:id="1560" w:name="_Toc18060"/>
      <w:bookmarkStart w:id="1561" w:name="_Toc477415387"/>
      <w:bookmarkStart w:id="1562" w:name="_Toc292143842"/>
      <w:r>
        <w:rPr>
          <w:rFonts w:hint="eastAsia" w:ascii="宋体" w:hAnsi="宋体" w:eastAsia="宋体" w:cs="宋体"/>
          <w:b/>
          <w:color w:val="000000"/>
          <w:kern w:val="2"/>
          <w:sz w:val="21"/>
          <w:szCs w:val="21"/>
          <w:lang w:val="en-US" w:eastAsia="zh-CN" w:bidi="ar-SA"/>
        </w:rPr>
        <w:t>2.1其它要求</w:t>
      </w:r>
      <w:bookmarkEnd w:id="1559"/>
      <w:bookmarkEnd w:id="1560"/>
      <w:bookmarkEnd w:id="1561"/>
      <w:bookmarkEnd w:id="1562"/>
    </w:p>
    <w:p w14:paraId="05FF9F12">
      <w:pPr>
        <w:rPr>
          <w:rFonts w:hint="eastAsia" w:ascii="宋体" w:hAnsi="宋体" w:eastAsia="宋体" w:cs="宋体"/>
          <w:color w:val="000000"/>
          <w:sz w:val="21"/>
          <w:szCs w:val="21"/>
        </w:rPr>
      </w:pPr>
      <w:r>
        <w:rPr>
          <w:rFonts w:hint="eastAsia" w:ascii="宋体" w:hAnsi="宋体" w:eastAsia="宋体" w:cs="宋体"/>
          <w:color w:val="000000"/>
          <w:sz w:val="21"/>
          <w:szCs w:val="21"/>
        </w:rPr>
        <w:t>乙方在进行本项目所涉及的服务的配置方案设计时应遵循以下原则：（1）乙方应以技术先进、经济合理，有利于今后发展的原则进行配置。（2）根据甲方的建议和要求，乙方应向甲方提供优化的配置方案。</w:t>
      </w:r>
    </w:p>
    <w:p w14:paraId="3EA699CB">
      <w:pPr>
        <w:keepNext/>
        <w:keepLines/>
        <w:widowControl w:val="0"/>
        <w:numPr>
          <w:ilvl w:val="2"/>
          <w:numId w:val="0"/>
        </w:numPr>
        <w:spacing w:before="260" w:after="260" w:line="413" w:lineRule="auto"/>
        <w:ind w:firstLine="211" w:firstLineChars="100"/>
        <w:jc w:val="both"/>
        <w:outlineLvl w:val="2"/>
        <w:rPr>
          <w:rFonts w:hint="eastAsia" w:ascii="宋体" w:hAnsi="宋体" w:eastAsia="宋体" w:cs="宋体"/>
          <w:b/>
          <w:color w:val="000000"/>
          <w:kern w:val="2"/>
          <w:sz w:val="21"/>
          <w:szCs w:val="21"/>
          <w:lang w:val="en-US" w:eastAsia="zh-CN" w:bidi="ar-SA"/>
        </w:rPr>
      </w:pPr>
      <w:bookmarkStart w:id="1563" w:name="_Toc14172"/>
      <w:bookmarkStart w:id="1564" w:name="_Toc206818249"/>
      <w:bookmarkStart w:id="1565" w:name="_Toc144199757"/>
      <w:bookmarkStart w:id="1566" w:name="_Toc4750"/>
      <w:bookmarkStart w:id="1567" w:name="_Toc477415388"/>
      <w:r>
        <w:rPr>
          <w:rFonts w:hint="eastAsia" w:ascii="宋体" w:hAnsi="宋体" w:eastAsia="宋体" w:cs="宋体"/>
          <w:b/>
          <w:color w:val="000000"/>
          <w:kern w:val="2"/>
          <w:sz w:val="21"/>
          <w:szCs w:val="21"/>
          <w:lang w:val="en-US" w:eastAsia="zh-CN" w:bidi="ar-SA"/>
        </w:rPr>
        <w:t>2.2报价要求</w:t>
      </w:r>
      <w:bookmarkEnd w:id="1563"/>
      <w:bookmarkEnd w:id="1564"/>
      <w:bookmarkEnd w:id="1565"/>
      <w:bookmarkEnd w:id="1566"/>
      <w:bookmarkEnd w:id="1567"/>
    </w:p>
    <w:p w14:paraId="3C291EDB">
      <w:pPr>
        <w:rPr>
          <w:rFonts w:hint="eastAsia" w:ascii="宋体" w:hAnsi="宋体" w:eastAsia="宋体" w:cs="宋体"/>
          <w:color w:val="000000"/>
          <w:sz w:val="21"/>
          <w:szCs w:val="21"/>
        </w:rPr>
      </w:pPr>
      <w:r>
        <w:rPr>
          <w:rFonts w:hint="eastAsia" w:ascii="宋体" w:hAnsi="宋体" w:eastAsia="宋体" w:cs="宋体"/>
          <w:color w:val="000000"/>
          <w:sz w:val="21"/>
          <w:szCs w:val="21"/>
        </w:rPr>
        <w:t>1、本期服务以人民币为单位报价。</w:t>
      </w:r>
    </w:p>
    <w:p w14:paraId="2E63E03B">
      <w:pPr>
        <w:rPr>
          <w:rFonts w:hint="eastAsia" w:ascii="宋体" w:hAnsi="宋体" w:eastAsia="宋体" w:cs="宋体"/>
          <w:color w:val="000000"/>
          <w:sz w:val="21"/>
          <w:szCs w:val="21"/>
        </w:rPr>
      </w:pPr>
      <w:r>
        <w:rPr>
          <w:rFonts w:hint="eastAsia" w:ascii="宋体" w:hAnsi="宋体" w:eastAsia="宋体" w:cs="宋体"/>
          <w:color w:val="000000"/>
          <w:sz w:val="21"/>
          <w:szCs w:val="21"/>
        </w:rPr>
        <w:t>2、本项目所需相关服务的报价，应包含技术服务费、资料费、税费、管理费、培训费等一切费用。</w:t>
      </w:r>
    </w:p>
    <w:p w14:paraId="736D377A">
      <w:pPr>
        <w:keepNext/>
        <w:keepLines/>
        <w:widowControl w:val="0"/>
        <w:tabs>
          <w:tab w:val="left" w:pos="0"/>
        </w:tabs>
        <w:spacing w:before="260" w:after="260" w:line="416" w:lineRule="auto"/>
        <w:jc w:val="both"/>
        <w:outlineLvl w:val="1"/>
        <w:rPr>
          <w:rFonts w:hint="eastAsia" w:ascii="宋体" w:hAnsi="宋体" w:eastAsia="宋体" w:cs="宋体"/>
          <w:b/>
          <w:bCs/>
          <w:color w:val="000000"/>
          <w:kern w:val="0"/>
          <w:sz w:val="21"/>
          <w:szCs w:val="21"/>
          <w:lang w:val="en-US" w:eastAsia="zh-CN" w:bidi="ar-SA"/>
        </w:rPr>
      </w:pPr>
      <w:bookmarkStart w:id="1568" w:name="_Toc4249"/>
      <w:bookmarkStart w:id="1569" w:name="_Toc19719"/>
      <w:r>
        <w:rPr>
          <w:rFonts w:hint="eastAsia" w:ascii="宋体" w:hAnsi="宋体" w:eastAsia="宋体" w:cs="宋体"/>
          <w:b/>
          <w:bCs/>
          <w:color w:val="000000"/>
          <w:kern w:val="0"/>
          <w:sz w:val="21"/>
          <w:szCs w:val="21"/>
          <w:lang w:val="en-US" w:eastAsia="zh-CN" w:bidi="ar-SA"/>
        </w:rPr>
        <w:t>3概述</w:t>
      </w:r>
      <w:bookmarkEnd w:id="1568"/>
      <w:bookmarkEnd w:id="1569"/>
    </w:p>
    <w:p w14:paraId="3B58DE43">
      <w:pPr>
        <w:keepNext/>
        <w:keepLines/>
        <w:widowControl w:val="0"/>
        <w:spacing w:before="260" w:after="260" w:line="413" w:lineRule="auto"/>
        <w:ind w:firstLine="420"/>
        <w:jc w:val="both"/>
        <w:outlineLvl w:val="2"/>
        <w:rPr>
          <w:rFonts w:hint="eastAsia" w:ascii="宋体" w:hAnsi="宋体" w:eastAsia="宋体" w:cs="宋体"/>
          <w:b/>
          <w:kern w:val="2"/>
          <w:sz w:val="21"/>
          <w:szCs w:val="21"/>
          <w:lang w:val="en-US" w:eastAsia="zh-CN" w:bidi="ar-SA"/>
        </w:rPr>
      </w:pPr>
      <w:bookmarkStart w:id="1570" w:name="_Toc6506"/>
      <w:bookmarkStart w:id="1571" w:name="_Toc9401"/>
      <w:r>
        <w:rPr>
          <w:rFonts w:hint="eastAsia" w:ascii="宋体" w:hAnsi="宋体" w:eastAsia="宋体" w:cs="宋体"/>
          <w:b/>
          <w:kern w:val="2"/>
          <w:sz w:val="21"/>
          <w:szCs w:val="21"/>
          <w:lang w:val="en-US" w:eastAsia="zh-CN" w:bidi="ar-SA"/>
        </w:rPr>
        <w:t>3.1项目背景</w:t>
      </w:r>
      <w:bookmarkEnd w:id="1570"/>
      <w:bookmarkEnd w:id="1571"/>
    </w:p>
    <w:p w14:paraId="65BCB9D0">
      <w:pPr>
        <w:ind w:firstLine="42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随着医疗行业数字化转型的加速推进，积极响应国家智慧医疗建设号召，出台多项政策引导医疗服务创新与优化。相关政策大力倡导利用信息技术改善患者就医流程，提高医疗服务效率和质量，以增强民众就医获得感。传统医院结算模式存在患者排队时间长、来回奔波劳累等问题，尤其不利于老年、重症患者。而床旁结算系统建设符合政策导向，能将结算服务延伸至患者床边，打破空间限制，使患者在病房内即可完成缴费、查询明细、办理出院等手续，极大提升患者就医体验，也有助于医院实现精细化管理与资源高效配置</w:t>
      </w:r>
      <w:r>
        <w:rPr>
          <w:rFonts w:hint="eastAsia" w:ascii="宋体" w:hAnsi="宋体" w:eastAsia="宋体" w:cs="宋体"/>
          <w:color w:val="000000"/>
          <w:sz w:val="21"/>
          <w:szCs w:val="21"/>
          <w:highlight w:val="none"/>
          <w:lang w:eastAsia="zh-CN"/>
        </w:rPr>
        <w:t>。</w:t>
      </w:r>
    </w:p>
    <w:p w14:paraId="32857767">
      <w:pPr>
        <w:ind w:firstLine="420"/>
        <w:rPr>
          <w:rFonts w:hint="eastAsia" w:ascii="宋体" w:hAnsi="宋体" w:eastAsia="宋体" w:cs="宋体"/>
          <w:color w:val="000000"/>
          <w:sz w:val="21"/>
          <w:szCs w:val="21"/>
          <w:highlight w:val="none"/>
          <w:lang w:eastAsia="zh-CN"/>
        </w:rPr>
      </w:pPr>
      <w:r>
        <w:rPr>
          <w:rFonts w:hint="eastAsia" w:ascii="宋体" w:hAnsi="宋体" w:eastAsia="宋体" w:cs="宋体"/>
          <w:color w:val="000000"/>
          <w:sz w:val="21"/>
          <w:szCs w:val="21"/>
          <w:highlight w:val="none"/>
        </w:rPr>
        <w:t>为加强</w:t>
      </w:r>
      <w:r>
        <w:rPr>
          <w:rFonts w:hint="eastAsia" w:ascii="宋体" w:hAnsi="宋体" w:eastAsia="宋体" w:cs="宋体"/>
          <w:color w:val="000000"/>
          <w:sz w:val="21"/>
          <w:szCs w:val="21"/>
          <w:highlight w:val="none"/>
          <w:lang w:val="en-US" w:eastAsia="zh-CN"/>
        </w:rPr>
        <w:t>湄潭县中西医结合医院床旁结算系统提升院内智慧服务</w:t>
      </w:r>
      <w:r>
        <w:rPr>
          <w:rFonts w:hint="eastAsia" w:ascii="宋体" w:hAnsi="宋体" w:eastAsia="宋体" w:cs="宋体"/>
          <w:color w:val="000000"/>
          <w:sz w:val="21"/>
          <w:szCs w:val="21"/>
          <w:highlight w:val="none"/>
        </w:rPr>
        <w:t>需求</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向</w:t>
      </w:r>
      <w:r>
        <w:rPr>
          <w:rFonts w:hint="eastAsia" w:ascii="宋体" w:hAnsi="宋体" w:eastAsia="宋体" w:cs="宋体"/>
          <w:color w:val="000000"/>
          <w:sz w:val="21"/>
          <w:szCs w:val="21"/>
          <w:highlight w:val="none"/>
          <w:lang w:val="en-US" w:eastAsia="zh-CN"/>
        </w:rPr>
        <w:t>湄潭县中西医结合医院</w:t>
      </w:r>
      <w:r>
        <w:rPr>
          <w:rFonts w:hint="eastAsia" w:ascii="宋体" w:hAnsi="宋体" w:eastAsia="宋体" w:cs="宋体"/>
          <w:color w:val="000000"/>
          <w:sz w:val="21"/>
          <w:szCs w:val="21"/>
          <w:highlight w:val="none"/>
        </w:rPr>
        <w:t>提供</w:t>
      </w:r>
      <w:r>
        <w:rPr>
          <w:rFonts w:hint="eastAsia" w:ascii="宋体" w:hAnsi="宋体" w:eastAsia="宋体" w:cs="宋体"/>
          <w:color w:val="000000"/>
          <w:sz w:val="21"/>
          <w:szCs w:val="21"/>
          <w:highlight w:val="none"/>
          <w:lang w:val="en-US" w:eastAsia="zh-CN"/>
        </w:rPr>
        <w:t>床旁结算系统开发</w:t>
      </w:r>
      <w:r>
        <w:rPr>
          <w:rFonts w:hint="eastAsia" w:ascii="宋体" w:hAnsi="宋体" w:eastAsia="宋体" w:cs="宋体"/>
          <w:color w:val="000000"/>
          <w:sz w:val="21"/>
          <w:szCs w:val="21"/>
          <w:highlight w:val="none"/>
        </w:rPr>
        <w:t>服务</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推动</w:t>
      </w:r>
      <w:r>
        <w:rPr>
          <w:rFonts w:hint="eastAsia" w:ascii="宋体" w:hAnsi="宋体" w:eastAsia="宋体" w:cs="宋体"/>
          <w:color w:val="000000"/>
          <w:sz w:val="21"/>
          <w:szCs w:val="21"/>
          <w:highlight w:val="none"/>
          <w:lang w:val="en-US" w:eastAsia="zh-CN"/>
        </w:rPr>
        <w:t>湄潭县中西医结合医院</w:t>
      </w:r>
      <w:r>
        <w:rPr>
          <w:rFonts w:hint="eastAsia" w:ascii="宋体" w:hAnsi="宋体" w:eastAsia="宋体" w:cs="宋体"/>
          <w:color w:val="000000"/>
          <w:sz w:val="21"/>
          <w:szCs w:val="21"/>
          <w:highlight w:val="none"/>
        </w:rPr>
        <w:t>医疗服务水平迈向新台阶</w:t>
      </w:r>
      <w:r>
        <w:rPr>
          <w:rFonts w:hint="eastAsia" w:ascii="宋体" w:hAnsi="宋体" w:eastAsia="宋体" w:cs="宋体"/>
          <w:color w:val="000000"/>
          <w:sz w:val="21"/>
          <w:szCs w:val="21"/>
          <w:highlight w:val="none"/>
          <w:lang w:eastAsia="zh-CN"/>
        </w:rPr>
        <w:t>。</w:t>
      </w:r>
    </w:p>
    <w:p w14:paraId="1DF1E6B9">
      <w:pPr>
        <w:keepNext/>
        <w:keepLines/>
        <w:widowControl w:val="0"/>
        <w:spacing w:before="260" w:after="260" w:line="413" w:lineRule="auto"/>
        <w:ind w:firstLine="420"/>
        <w:jc w:val="both"/>
        <w:outlineLvl w:val="2"/>
        <w:rPr>
          <w:rFonts w:hint="eastAsia" w:ascii="宋体" w:hAnsi="宋体" w:eastAsia="宋体" w:cs="宋体"/>
          <w:b/>
          <w:kern w:val="2"/>
          <w:sz w:val="21"/>
          <w:szCs w:val="21"/>
          <w:lang w:val="en-US" w:eastAsia="zh-CN" w:bidi="ar-SA"/>
        </w:rPr>
      </w:pPr>
      <w:bookmarkStart w:id="1572" w:name="_Toc1634"/>
      <w:bookmarkStart w:id="1573" w:name="_Toc3212"/>
      <w:r>
        <w:rPr>
          <w:rFonts w:hint="eastAsia" w:ascii="宋体" w:hAnsi="宋体" w:eastAsia="宋体" w:cs="宋体"/>
          <w:b/>
          <w:kern w:val="2"/>
          <w:sz w:val="21"/>
          <w:szCs w:val="21"/>
          <w:lang w:val="en-US" w:eastAsia="zh-CN" w:bidi="ar-SA"/>
        </w:rPr>
        <w:t>3.2项目建设内容</w:t>
      </w:r>
      <w:bookmarkEnd w:id="1572"/>
      <w:bookmarkEnd w:id="1573"/>
    </w:p>
    <w:p w14:paraId="79B967C7">
      <w:pPr>
        <w:rPr>
          <w:rFonts w:hint="eastAsia" w:ascii="宋体" w:hAnsi="宋体" w:eastAsia="宋体" w:cs="宋体"/>
          <w:color w:val="000000"/>
          <w:sz w:val="21"/>
          <w:szCs w:val="21"/>
        </w:rPr>
      </w:pPr>
      <w:r>
        <w:rPr>
          <w:rFonts w:hint="eastAsia" w:ascii="宋体" w:hAnsi="宋体" w:eastAsia="宋体" w:cs="宋体"/>
          <w:color w:val="000000"/>
          <w:sz w:val="21"/>
          <w:szCs w:val="21"/>
        </w:rPr>
        <w:t>主要内容包含：</w:t>
      </w:r>
      <w:r>
        <w:rPr>
          <w:rFonts w:hint="eastAsia" w:ascii="宋体" w:hAnsi="宋体" w:eastAsia="宋体" w:cs="宋体"/>
          <w:color w:val="000000"/>
          <w:sz w:val="21"/>
          <w:szCs w:val="21"/>
          <w:lang w:val="en-US" w:eastAsia="zh-CN"/>
        </w:rPr>
        <w:t>床旁结算系统开发服务</w:t>
      </w:r>
      <w:r>
        <w:rPr>
          <w:rFonts w:hint="eastAsia" w:ascii="宋体" w:hAnsi="宋体" w:eastAsia="宋体" w:cs="宋体"/>
          <w:color w:val="000000"/>
          <w:sz w:val="21"/>
          <w:szCs w:val="21"/>
        </w:rPr>
        <w:t>。</w:t>
      </w:r>
    </w:p>
    <w:p w14:paraId="0A102C33">
      <w:pPr>
        <w:rPr>
          <w:rFonts w:hint="eastAsia" w:ascii="宋体" w:hAnsi="宋体" w:eastAsia="宋体" w:cs="宋体"/>
          <w:color w:val="000000"/>
          <w:sz w:val="21"/>
          <w:szCs w:val="21"/>
        </w:rPr>
      </w:pPr>
      <w:r>
        <w:rPr>
          <w:rFonts w:hint="eastAsia" w:ascii="宋体" w:hAnsi="宋体" w:eastAsia="宋体" w:cs="宋体"/>
          <w:color w:val="000000"/>
          <w:sz w:val="21"/>
          <w:szCs w:val="21"/>
        </w:rPr>
        <w:t>具体建设清单如下：</w:t>
      </w:r>
    </w:p>
    <w:tbl>
      <w:tblPr>
        <w:tblStyle w:val="39"/>
        <w:tblW w:w="4998" w:type="pct"/>
        <w:jc w:val="center"/>
        <w:tblLayout w:type="autofit"/>
        <w:tblCellMar>
          <w:top w:w="0" w:type="dxa"/>
          <w:left w:w="108" w:type="dxa"/>
          <w:bottom w:w="0" w:type="dxa"/>
          <w:right w:w="108" w:type="dxa"/>
        </w:tblCellMar>
      </w:tblPr>
      <w:tblGrid>
        <w:gridCol w:w="1261"/>
        <w:gridCol w:w="3768"/>
        <w:gridCol w:w="3490"/>
      </w:tblGrid>
      <w:tr w14:paraId="79B06EF1">
        <w:tblPrEx>
          <w:tblCellMar>
            <w:top w:w="0" w:type="dxa"/>
            <w:left w:w="108" w:type="dxa"/>
            <w:bottom w:w="0" w:type="dxa"/>
            <w:right w:w="108" w:type="dxa"/>
          </w:tblCellMar>
        </w:tblPrEx>
        <w:trPr>
          <w:trHeight w:val="1182" w:hRule="atLeast"/>
          <w:jc w:val="center"/>
        </w:trPr>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CFA7B">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序号</w:t>
            </w:r>
          </w:p>
        </w:tc>
        <w:tc>
          <w:tcPr>
            <w:tcW w:w="2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1AB90">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项目内容</w:t>
            </w:r>
          </w:p>
        </w:tc>
        <w:tc>
          <w:tcPr>
            <w:tcW w:w="2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8B779">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kern w:val="0"/>
                <w:sz w:val="21"/>
                <w:szCs w:val="21"/>
                <w:lang w:bidi="ar"/>
              </w:rPr>
              <w:t>说明</w:t>
            </w:r>
          </w:p>
        </w:tc>
      </w:tr>
      <w:tr w14:paraId="4D4DB5AC">
        <w:tblPrEx>
          <w:tblCellMar>
            <w:top w:w="0" w:type="dxa"/>
            <w:left w:w="108" w:type="dxa"/>
            <w:bottom w:w="0" w:type="dxa"/>
            <w:right w:w="108" w:type="dxa"/>
          </w:tblCellMar>
        </w:tblPrEx>
        <w:trPr>
          <w:trHeight w:val="740" w:hRule="atLeast"/>
          <w:jc w:val="center"/>
        </w:trPr>
        <w:tc>
          <w:tcPr>
            <w:tcW w:w="74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B7EE1">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1</w:t>
            </w:r>
          </w:p>
        </w:tc>
        <w:tc>
          <w:tcPr>
            <w:tcW w:w="221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D6A1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auto"/>
                <w:kern w:val="0"/>
                <w:sz w:val="21"/>
                <w:szCs w:val="21"/>
                <w:highlight w:val="none"/>
                <w:lang w:val="en-US" w:eastAsia="zh-CN" w:bidi="ar"/>
              </w:rPr>
              <w:t>床旁结算系统开发服务</w:t>
            </w:r>
          </w:p>
        </w:tc>
        <w:tc>
          <w:tcPr>
            <w:tcW w:w="20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B03D">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详见具体要求</w:t>
            </w:r>
          </w:p>
        </w:tc>
      </w:tr>
    </w:tbl>
    <w:p w14:paraId="288E8857">
      <w:pPr>
        <w:keepNext/>
        <w:keepLines/>
        <w:widowControl w:val="0"/>
        <w:spacing w:before="260" w:after="260" w:line="413" w:lineRule="auto"/>
        <w:ind w:firstLine="420"/>
        <w:jc w:val="both"/>
        <w:outlineLvl w:val="2"/>
        <w:rPr>
          <w:rFonts w:hint="eastAsia" w:ascii="宋体" w:hAnsi="宋体" w:eastAsia="宋体" w:cs="宋体"/>
          <w:b/>
          <w:kern w:val="2"/>
          <w:sz w:val="21"/>
          <w:szCs w:val="21"/>
          <w:lang w:val="en-US" w:eastAsia="zh-CN" w:bidi="ar-SA"/>
        </w:rPr>
      </w:pPr>
      <w:bookmarkStart w:id="1574" w:name="_Toc1808"/>
      <w:bookmarkStart w:id="1575" w:name="_Toc477415393"/>
      <w:bookmarkStart w:id="1576" w:name="_Toc28059"/>
      <w:r>
        <w:rPr>
          <w:rFonts w:hint="eastAsia" w:ascii="宋体" w:hAnsi="宋体" w:eastAsia="宋体" w:cs="宋体"/>
          <w:b/>
          <w:kern w:val="2"/>
          <w:sz w:val="21"/>
          <w:szCs w:val="21"/>
          <w:lang w:val="en-US" w:eastAsia="zh-CN" w:bidi="ar-SA"/>
        </w:rPr>
        <w:t>3.3具体要求</w:t>
      </w:r>
      <w:bookmarkEnd w:id="1574"/>
      <w:bookmarkEnd w:id="1575"/>
      <w:bookmarkEnd w:id="1576"/>
    </w:p>
    <w:tbl>
      <w:tblPr>
        <w:tblStyle w:val="39"/>
        <w:tblW w:w="4998" w:type="pct"/>
        <w:jc w:val="center"/>
        <w:shd w:val="clear" w:color="auto" w:fill="auto"/>
        <w:tblLayout w:type="autofit"/>
        <w:tblCellMar>
          <w:top w:w="0" w:type="dxa"/>
          <w:left w:w="108" w:type="dxa"/>
          <w:bottom w:w="0" w:type="dxa"/>
          <w:right w:w="108" w:type="dxa"/>
        </w:tblCellMar>
      </w:tblPr>
      <w:tblGrid>
        <w:gridCol w:w="723"/>
        <w:gridCol w:w="1539"/>
        <w:gridCol w:w="3650"/>
        <w:gridCol w:w="726"/>
        <w:gridCol w:w="699"/>
        <w:gridCol w:w="1182"/>
      </w:tblGrid>
      <w:tr w14:paraId="7E04AE36">
        <w:tblPrEx>
          <w:shd w:val="clear" w:color="auto" w:fill="auto"/>
          <w:tblCellMar>
            <w:top w:w="0" w:type="dxa"/>
            <w:left w:w="108" w:type="dxa"/>
            <w:bottom w:w="0" w:type="dxa"/>
            <w:right w:w="108" w:type="dxa"/>
          </w:tblCellMar>
        </w:tblPrEx>
        <w:trPr>
          <w:trHeight w:val="454" w:hRule="atLeast"/>
          <w:tblHeader/>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2C97A">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10F4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服务名称</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F61A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服务要求</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202CC">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89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6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40D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284A6412">
        <w:tblPrEx>
          <w:shd w:val="clear" w:color="auto" w:fill="auto"/>
          <w:tblCellMar>
            <w:top w:w="0" w:type="dxa"/>
            <w:left w:w="108" w:type="dxa"/>
            <w:bottom w:w="0" w:type="dxa"/>
            <w:right w:w="108" w:type="dxa"/>
          </w:tblCellMar>
        </w:tblPrEx>
        <w:trPr>
          <w:trHeight w:val="1626"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83E1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9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B3E0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床旁结算系统（定制）</w:t>
            </w:r>
          </w:p>
        </w:tc>
        <w:tc>
          <w:tcPr>
            <w:tcW w:w="21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0418">
            <w:pPr>
              <w:keepNext w:val="0"/>
              <w:keepLines w:val="0"/>
              <w:widowControl/>
              <w:suppressLineNumbers w:val="0"/>
              <w:spacing w:before="0" w:beforeAutospacing="0" w:after="0" w:afterAutospacing="0" w:line="240" w:lineRule="auto"/>
              <w:ind w:left="0" w:right="0" w:firstLine="0" w:firstLineChars="0"/>
              <w:jc w:val="both"/>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1.服务端可在linux，windows，国产操作系统运行，并支持随时切换部署操作系统。</w:t>
            </w:r>
          </w:p>
          <w:p w14:paraId="6D7F6821">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2.系统基于B/S架构开发，使用基于服务的架构运行。</w:t>
            </w:r>
          </w:p>
          <w:p w14:paraId="71B1504F">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3. 支持国家医疗保障局过检的医保综合服务终端。</w:t>
            </w:r>
          </w:p>
          <w:p w14:paraId="701FA431">
            <w:pPr>
              <w:keepNext w:val="0"/>
              <w:keepLines w:val="0"/>
              <w:widowControl w:val="0"/>
              <w:suppressLineNumbers w:val="0"/>
              <w:spacing w:before="0" w:beforeAutospacing="0" w:after="0" w:afterAutospacing="0" w:line="240" w:lineRule="auto"/>
              <w:ind w:left="0" w:leftChars="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4. 可完整记录整个结算过程的所有结算日志，包括入出参数，错误信息，并提供后台管理系统查询日志。</w:t>
            </w:r>
          </w:p>
          <w:p w14:paraId="0E42E81C">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1"/>
                <w:szCs w:val="21"/>
              </w:rPr>
            </w:pPr>
            <w:r>
              <w:rPr>
                <w:rFonts w:hint="eastAsia" w:ascii="宋体" w:hAnsi="宋体" w:eastAsia="宋体" w:cs="宋体"/>
                <w:sz w:val="21"/>
                <w:szCs w:val="21"/>
              </w:rPr>
              <w:t>5. 结算同时完成电子发票申请。</w:t>
            </w:r>
          </w:p>
          <w:p w14:paraId="2EE60928">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6. 可统计每日各科室床旁结算数量统计。</w:t>
            </w:r>
          </w:p>
          <w:p w14:paraId="11101369">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1"/>
                <w:szCs w:val="21"/>
              </w:rPr>
            </w:pPr>
            <w:r>
              <w:rPr>
                <w:rFonts w:hint="eastAsia" w:ascii="宋体" w:hAnsi="宋体" w:eastAsia="宋体" w:cs="宋体"/>
                <w:sz w:val="21"/>
                <w:szCs w:val="21"/>
              </w:rPr>
              <w:t>7. 支持通过微信推送结算通知。</w:t>
            </w:r>
          </w:p>
          <w:p w14:paraId="713064A8">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both"/>
              <w:textAlignment w:val="center"/>
              <w:rPr>
                <w:rFonts w:hint="eastAsia" w:ascii="宋体" w:hAnsi="宋体" w:eastAsia="宋体" w:cs="宋体"/>
                <w:sz w:val="21"/>
                <w:szCs w:val="21"/>
              </w:rPr>
            </w:pPr>
            <w:r>
              <w:rPr>
                <w:rFonts w:hint="eastAsia" w:ascii="宋体" w:hAnsi="宋体" w:eastAsia="宋体" w:cs="宋体"/>
                <w:sz w:val="21"/>
                <w:szCs w:val="21"/>
              </w:rPr>
              <w:t>8. 支持通过微信推送出院病历记录费用记录，并且可在微信上下载。</w:t>
            </w:r>
          </w:p>
          <w:p w14:paraId="5DEC5F35">
            <w:pPr>
              <w:keepNext w:val="0"/>
              <w:keepLines w:val="0"/>
              <w:widowControl/>
              <w:suppressLineNumbers w:val="0"/>
              <w:spacing w:before="0" w:beforeAutospacing="0" w:after="0" w:afterAutospacing="0" w:line="240" w:lineRule="auto"/>
              <w:ind w:left="0" w:right="0" w:firstLine="0" w:firstLineChars="0"/>
              <w:jc w:val="both"/>
              <w:textAlignment w:val="center"/>
              <w:rPr>
                <w:rFonts w:hint="eastAsia" w:ascii="宋体" w:hAnsi="宋体" w:eastAsia="宋体" w:cs="宋体"/>
                <w:color w:val="000000"/>
                <w:sz w:val="21"/>
                <w:szCs w:val="21"/>
              </w:rPr>
            </w:pPr>
            <w:r>
              <w:rPr>
                <w:rFonts w:hint="eastAsia" w:ascii="宋体" w:hAnsi="宋体" w:eastAsia="宋体" w:cs="宋体"/>
                <w:sz w:val="21"/>
                <w:szCs w:val="21"/>
                <w:lang w:val="en-US" w:eastAsia="zh-CN"/>
              </w:rPr>
              <w:t>9.</w:t>
            </w:r>
            <w:r>
              <w:rPr>
                <w:rFonts w:hint="eastAsia" w:ascii="宋体" w:hAnsi="宋体" w:eastAsia="宋体" w:cs="宋体"/>
                <w:color w:val="000000"/>
                <w:sz w:val="21"/>
                <w:szCs w:val="21"/>
              </w:rPr>
              <w:t>支持床旁使用刷脸方式、身份证、住院号等提取患者医保信息。</w:t>
            </w:r>
          </w:p>
          <w:p w14:paraId="5B21B04E">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10.支持床旁办理入院，并同时完成医保和HIS入院登记。</w:t>
            </w:r>
          </w:p>
          <w:p w14:paraId="5A260BE5">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11.支持医保服务终端选择床号，可直接入科。</w:t>
            </w:r>
          </w:p>
          <w:p w14:paraId="395E1BFE">
            <w:pPr>
              <w:keepNext w:val="0"/>
              <w:keepLines w:val="0"/>
              <w:widowControl/>
              <w:suppressLineNumbers w:val="0"/>
              <w:spacing w:before="0" w:beforeAutospacing="0" w:after="0" w:afterAutospacing="0" w:line="240" w:lineRule="auto"/>
              <w:ind w:left="0" w:right="0" w:firstLine="0" w:firstLineChars="0"/>
              <w:jc w:val="both"/>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 支持床旁使用刷脸方式、身份证、住院号等提取患者信息进行住院预缴。</w:t>
            </w:r>
          </w:p>
          <w:p w14:paraId="38E90D26">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13. 支持微信、支付宝、银行卡等途径完成住院预缴。</w:t>
            </w:r>
          </w:p>
          <w:p w14:paraId="1D557A96">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 支持用户主动扫码和被扫两种支付模式支付住院预缴。</w:t>
            </w:r>
          </w:p>
          <w:p w14:paraId="576DDA78">
            <w:pPr>
              <w:keepNext w:val="0"/>
              <w:keepLines w:val="0"/>
              <w:widowControl/>
              <w:suppressLineNumbers w:val="0"/>
              <w:spacing w:before="0" w:beforeAutospacing="0" w:after="0" w:afterAutospacing="0" w:line="240" w:lineRule="auto"/>
              <w:ind w:left="0" w:right="0" w:firstLine="0" w:firstLineChars="0"/>
              <w:jc w:val="both"/>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w:t>
            </w:r>
            <w:r>
              <w:rPr>
                <w:rFonts w:hint="eastAsia" w:ascii="宋体" w:hAnsi="宋体" w:eastAsia="宋体" w:cs="宋体"/>
                <w:sz w:val="21"/>
                <w:szCs w:val="21"/>
              </w:rPr>
              <w:t xml:space="preserve"> </w:t>
            </w:r>
            <w:r>
              <w:rPr>
                <w:rFonts w:hint="eastAsia" w:ascii="宋体" w:hAnsi="宋体" w:eastAsia="宋体" w:cs="宋体"/>
                <w:color w:val="000000"/>
                <w:sz w:val="21"/>
                <w:szCs w:val="21"/>
              </w:rPr>
              <w:t>支持床旁使用刷脸方式提取医保信息。</w:t>
            </w:r>
          </w:p>
          <w:p w14:paraId="6A2E9A0F">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16. 支持使用身份证刷卡方式提取医保信息(需要医院向医保局申请无卡结算)。</w:t>
            </w:r>
          </w:p>
          <w:p w14:paraId="10ADC170">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 支持在病区、床边进行住院费用自费和医保结算。</w:t>
            </w:r>
          </w:p>
          <w:p w14:paraId="15B7643C">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18. 可直连国家医保基线版接口。</w:t>
            </w:r>
          </w:p>
          <w:p w14:paraId="03E142C2">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 可直连国家医保基线版接口。</w:t>
            </w:r>
          </w:p>
          <w:p w14:paraId="73E88522">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20.支持结算时一步完成补交费用和住院费用结算。</w:t>
            </w:r>
          </w:p>
          <w:p w14:paraId="2A735A4B">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 支持结算时同时扣除预交金，应退部分自动通过原渠道退款。</w:t>
            </w:r>
          </w:p>
          <w:p w14:paraId="627CD733">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22. 支持通过刷脸、刷身份证、输入身份证号等方式进行住院费用的医保结算(身份证方式需要医院向医保局申请无卡结算)。</w:t>
            </w:r>
          </w:p>
          <w:p w14:paraId="61E3949A">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 支持撤销医保中心端费用结算记录。</w:t>
            </w:r>
          </w:p>
          <w:p w14:paraId="69E5FDB7">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24. 支持通过医保电子凭证亲情账号完成出院费用结算。</w:t>
            </w:r>
          </w:p>
          <w:p w14:paraId="100B22DE">
            <w:pPr>
              <w:keepNext w:val="0"/>
              <w:keepLines w:val="0"/>
              <w:suppressLineNumbers w:val="0"/>
              <w:spacing w:before="0" w:beforeAutospacing="0" w:after="0" w:afterAutospacing="0" w:line="240" w:lineRule="auto"/>
              <w:ind w:left="0" w:right="0"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 结算同时完成电子发票申请。</w:t>
            </w:r>
          </w:p>
          <w:p w14:paraId="06FDFB8C">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26.支持包括但不限于支持微信、支付宝、医保等结算途径。</w:t>
            </w:r>
          </w:p>
          <w:p w14:paraId="00C230E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27. 支持接入院内统一支付平台。</w:t>
            </w:r>
          </w:p>
          <w:p w14:paraId="4277F007">
            <w:pPr>
              <w:keepNext w:val="0"/>
              <w:keepLines w:val="0"/>
              <w:widowControl/>
              <w:suppressLineNumbers w:val="0"/>
              <w:spacing w:before="0" w:beforeAutospacing="0" w:after="0" w:afterAutospacing="0" w:line="240" w:lineRule="auto"/>
              <w:ind w:left="0" w:right="0" w:firstLine="0" w:firstLineChars="0"/>
              <w:jc w:val="both"/>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28</w:t>
            </w:r>
            <w:r>
              <w:rPr>
                <w:rFonts w:hint="eastAsia" w:ascii="宋体" w:hAnsi="宋体" w:eastAsia="宋体" w:cs="宋体"/>
                <w:color w:val="000000"/>
                <w:kern w:val="0"/>
                <w:sz w:val="21"/>
                <w:szCs w:val="21"/>
              </w:rPr>
              <w:t>.</w:t>
            </w: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支持窗口办理入院后,可在床旁结算系统设备上进行医保身份补充登记。</w:t>
            </w:r>
          </w:p>
          <w:p w14:paraId="27C21047">
            <w:pPr>
              <w:keepNext w:val="0"/>
              <w:keepLines w:val="0"/>
              <w:suppressLineNumbers w:val="0"/>
              <w:spacing w:before="0" w:beforeAutospacing="0" w:after="0" w:afterAutospacing="0"/>
              <w:ind w:left="0" w:right="0"/>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.支持床旁刷脸完成补充医保登记。</w:t>
            </w:r>
          </w:p>
          <w:p w14:paraId="509A3160">
            <w:pPr>
              <w:keepNext w:val="0"/>
              <w:keepLines w:val="0"/>
              <w:widowControl/>
              <w:suppressLineNumbers w:val="0"/>
              <w:spacing w:before="0" w:beforeAutospacing="0" w:after="0" w:afterAutospacing="0" w:line="240" w:lineRule="auto"/>
              <w:ind w:left="0" w:right="0" w:firstLine="0" w:firstLineChars="0"/>
              <w:jc w:val="both"/>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30</w:t>
            </w:r>
            <w:r>
              <w:rPr>
                <w:rFonts w:hint="eastAsia" w:ascii="宋体" w:hAnsi="宋体" w:eastAsia="宋体" w:cs="宋体"/>
                <w:color w:val="000000"/>
                <w:kern w:val="0"/>
                <w:sz w:val="21"/>
                <w:szCs w:val="21"/>
              </w:rPr>
              <w:t>.</w:t>
            </w: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支持通过刷脸、身份证、住院号等方式查询预缴款；</w:t>
            </w:r>
          </w:p>
          <w:p w14:paraId="0C6850E3">
            <w:pPr>
              <w:keepNext w:val="0"/>
              <w:keepLines w:val="0"/>
              <w:widowControl w:val="0"/>
              <w:suppressLineNumbers w:val="0"/>
              <w:spacing w:before="0" w:beforeAutospacing="0" w:after="0" w:afterAutospacing="0" w:line="240" w:lineRule="auto"/>
              <w:ind w:left="0" w:right="0" w:firstLine="0" w:firstLineChars="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31.支持通过扫码及被扫码等方式完成住院预缴。</w:t>
            </w:r>
          </w:p>
          <w:p w14:paraId="0EBD8558">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SA"/>
              </w:rPr>
            </w:pPr>
            <w:r>
              <w:rPr>
                <w:rFonts w:hint="eastAsia" w:ascii="宋体" w:hAnsi="宋体" w:eastAsia="宋体" w:cs="宋体"/>
                <w:snapToGrid w:val="0"/>
                <w:color w:val="000000"/>
                <w:kern w:val="2"/>
                <w:sz w:val="21"/>
                <w:szCs w:val="21"/>
                <w:lang w:val="en-US" w:eastAsia="zh-CN" w:bidi="ar-SA"/>
              </w:rPr>
              <w:t>32.支持退住院预缴。</w:t>
            </w:r>
          </w:p>
          <w:p w14:paraId="63A45F66">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1"/>
                <w:szCs w:val="21"/>
                <w:lang w:val="en-US" w:eastAsia="zh-CN" w:bidi="ar-SA"/>
              </w:rPr>
            </w:pPr>
          </w:p>
        </w:tc>
        <w:tc>
          <w:tcPr>
            <w:tcW w:w="4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A547">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5118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套</w:t>
            </w:r>
          </w:p>
        </w:tc>
        <w:tc>
          <w:tcPr>
            <w:tcW w:w="6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75F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firstLine="0" w:firstLineChars="0"/>
              <w:jc w:val="center"/>
              <w:textAlignment w:val="center"/>
              <w:rPr>
                <w:rFonts w:hint="eastAsia" w:ascii="宋体" w:hAnsi="宋体" w:eastAsia="宋体" w:cs="宋体"/>
                <w:color w:val="auto"/>
                <w:kern w:val="0"/>
                <w:sz w:val="21"/>
                <w:szCs w:val="21"/>
                <w:highlight w:val="none"/>
                <w:lang w:val="en-US" w:eastAsia="zh-CN" w:bidi="ar"/>
              </w:rPr>
            </w:pPr>
          </w:p>
        </w:tc>
      </w:tr>
    </w:tbl>
    <w:p w14:paraId="06268F37">
      <w:pPr>
        <w:widowControl w:val="0"/>
        <w:ind w:left="0" w:leftChars="0" w:firstLine="0" w:firstLineChars="0"/>
        <w:jc w:val="both"/>
        <w:rPr>
          <w:rFonts w:hint="eastAsia" w:ascii="宋体" w:hAnsi="宋体" w:eastAsia="宋体" w:cs="宋体"/>
          <w:kern w:val="2"/>
          <w:sz w:val="21"/>
          <w:szCs w:val="21"/>
          <w:lang w:val="en-US" w:eastAsia="zh-CN" w:bidi="ar-SA"/>
        </w:rPr>
      </w:pPr>
    </w:p>
    <w:p w14:paraId="5770E503">
      <w:pPr>
        <w:widowControl w:val="0"/>
        <w:ind w:firstLine="420"/>
        <w:jc w:val="both"/>
        <w:rPr>
          <w:rFonts w:hint="eastAsia" w:ascii="宋体" w:hAnsi="宋体" w:eastAsia="宋体" w:cs="宋体"/>
          <w:kern w:val="2"/>
          <w:sz w:val="21"/>
          <w:szCs w:val="21"/>
          <w:lang w:val="en-US" w:eastAsia="zh-CN" w:bidi="ar-SA"/>
        </w:rPr>
      </w:pPr>
    </w:p>
    <w:p w14:paraId="66982D63">
      <w:pPr>
        <w:rPr>
          <w:rFonts w:hint="eastAsia" w:ascii="宋体" w:hAnsi="宋体" w:eastAsia="宋体" w:cs="宋体"/>
          <w:sz w:val="21"/>
          <w:szCs w:val="21"/>
        </w:rPr>
      </w:pPr>
      <w:r>
        <w:rPr>
          <w:rFonts w:hint="eastAsia" w:ascii="宋体" w:hAnsi="宋体" w:eastAsia="宋体" w:cs="宋体"/>
          <w:sz w:val="21"/>
          <w:szCs w:val="21"/>
        </w:rPr>
        <w:br w:type="page"/>
      </w:r>
    </w:p>
    <w:p w14:paraId="3503FC23">
      <w:pPr>
        <w:keepNext/>
        <w:keepLines/>
        <w:widowControl w:val="0"/>
        <w:spacing w:before="280" w:after="290" w:line="372" w:lineRule="auto"/>
        <w:jc w:val="both"/>
        <w:outlineLvl w:val="3"/>
        <w:rPr>
          <w:rFonts w:hint="eastAsia" w:ascii="宋体" w:hAnsi="宋体" w:eastAsia="宋体" w:cs="宋体"/>
          <w:b/>
          <w:kern w:val="2"/>
          <w:sz w:val="21"/>
          <w:szCs w:val="21"/>
          <w:highlight w:val="none"/>
          <w:lang w:val="en-US" w:eastAsia="zh-CN" w:bidi="ar-SA"/>
        </w:rPr>
      </w:pPr>
      <w:r>
        <w:rPr>
          <w:rFonts w:hint="eastAsia" w:ascii="宋体" w:hAnsi="宋体" w:eastAsia="宋体" w:cs="宋体"/>
          <w:b/>
          <w:kern w:val="2"/>
          <w:sz w:val="21"/>
          <w:szCs w:val="21"/>
          <w:highlight w:val="none"/>
          <w:lang w:val="en-US" w:eastAsia="zh-CN" w:bidi="ar-SA"/>
        </w:rPr>
        <w:t>3.3.1 床旁结算系统建设服务需满足</w:t>
      </w:r>
    </w:p>
    <w:p w14:paraId="00655345">
      <w:pPr>
        <w:ind w:firstLine="420" w:firstLineChars="200"/>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首先需确保系统功能完备。实现费用明细查询与结算高效流畅，医保对接精准且即时报销迅速，集成多元支付手段并保障高成功率。上配备优质床旁自助</w:t>
      </w:r>
      <w:r>
        <w:rPr>
          <w:rFonts w:hint="eastAsia" w:ascii="宋体" w:hAnsi="宋体" w:eastAsia="宋体" w:cs="宋体"/>
          <w:sz w:val="21"/>
          <w:szCs w:val="21"/>
          <w:highlight w:val="none"/>
          <w:lang w:val="en-US" w:eastAsia="zh-CN"/>
        </w:rPr>
        <w:t>服务</w:t>
      </w:r>
      <w:r>
        <w:rPr>
          <w:rFonts w:hint="eastAsia" w:ascii="宋体" w:hAnsi="宋体" w:eastAsia="宋体" w:cs="宋体"/>
          <w:sz w:val="21"/>
          <w:szCs w:val="21"/>
          <w:highlight w:val="none"/>
        </w:rPr>
        <w:t>，具备灵敏触摸与稳定网络连接，且符合卫生标准。数据安全方面，运用高级加密算法与严格权限管理。注重系统兼容性，打造标准化接口以便与院内其他系统协同。同时，提供全面人员培训，建立快速响应的运维服务体系，及时解决可能出现的问题</w:t>
      </w:r>
      <w:r>
        <w:rPr>
          <w:rFonts w:hint="eastAsia" w:ascii="宋体" w:hAnsi="宋体" w:eastAsia="宋体" w:cs="宋体"/>
          <w:sz w:val="21"/>
          <w:szCs w:val="21"/>
          <w:highlight w:val="none"/>
          <w:lang w:eastAsia="zh-CN"/>
        </w:rPr>
        <w:t>。</w:t>
      </w:r>
    </w:p>
    <w:p w14:paraId="1EEAEE9D">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3.3.2 项目进度、维保期及验收等相关服务要求</w:t>
      </w:r>
    </w:p>
    <w:p w14:paraId="6C89D122">
      <w:pPr>
        <w:tabs>
          <w:tab w:val="left" w:pos="0"/>
        </w:tabs>
        <w:rPr>
          <w:rFonts w:hint="eastAsia" w:ascii="宋体" w:hAnsi="宋体" w:eastAsia="宋体" w:cs="宋体"/>
          <w:b/>
          <w:bCs/>
          <w:snapToGrid w:val="0"/>
          <w:sz w:val="21"/>
          <w:szCs w:val="21"/>
        </w:rPr>
      </w:pPr>
      <w:bookmarkStart w:id="1577" w:name="_Toc314789076"/>
      <w:bookmarkStart w:id="1578" w:name="_Toc402351838"/>
      <w:bookmarkStart w:id="1579" w:name="_Toc477415430"/>
      <w:bookmarkStart w:id="1580" w:name="_Toc405818849"/>
      <w:bookmarkStart w:id="1581" w:name="_Toc257188334"/>
      <w:bookmarkStart w:id="1582" w:name="_Toc322003395"/>
      <w:r>
        <w:rPr>
          <w:rFonts w:hint="eastAsia" w:ascii="宋体" w:hAnsi="宋体" w:eastAsia="宋体" w:cs="宋体"/>
          <w:b/>
          <w:bCs/>
          <w:snapToGrid w:val="0"/>
          <w:sz w:val="21"/>
          <w:szCs w:val="21"/>
        </w:rPr>
        <w:t>3.3.2.1</w:t>
      </w:r>
      <w:bookmarkEnd w:id="1577"/>
      <w:bookmarkEnd w:id="1578"/>
      <w:bookmarkEnd w:id="1579"/>
      <w:bookmarkEnd w:id="1580"/>
      <w:bookmarkEnd w:id="1581"/>
      <w:bookmarkEnd w:id="1582"/>
      <w:r>
        <w:rPr>
          <w:rFonts w:hint="eastAsia" w:ascii="宋体" w:hAnsi="宋体" w:eastAsia="宋体" w:cs="宋体"/>
          <w:b/>
          <w:bCs/>
          <w:snapToGrid w:val="0"/>
          <w:sz w:val="21"/>
          <w:szCs w:val="21"/>
        </w:rPr>
        <w:t>项目进度</w:t>
      </w:r>
    </w:p>
    <w:p w14:paraId="48F74C37">
      <w:pPr>
        <w:rPr>
          <w:rFonts w:hint="eastAsia" w:ascii="宋体" w:hAnsi="宋体" w:eastAsia="宋体" w:cs="宋体"/>
          <w:sz w:val="21"/>
          <w:szCs w:val="21"/>
        </w:rPr>
      </w:pPr>
      <w:r>
        <w:rPr>
          <w:rFonts w:hint="eastAsia" w:ascii="宋体" w:hAnsi="宋体" w:eastAsia="宋体" w:cs="宋体"/>
          <w:sz w:val="21"/>
          <w:szCs w:val="21"/>
        </w:rPr>
        <w:t>合同签订起90天（日历天）内完成项目交付。</w:t>
      </w:r>
    </w:p>
    <w:p w14:paraId="699ECDF0">
      <w:pPr>
        <w:pageBreakBefore w:val="0"/>
        <w:widowControl w:val="0"/>
        <w:numPr>
          <w:ilvl w:val="3"/>
          <w:numId w:val="0"/>
        </w:numPr>
        <w:tabs>
          <w:tab w:val="left" w:pos="0"/>
        </w:tabs>
        <w:kinsoku/>
        <w:wordWrap/>
        <w:overflowPunct/>
        <w:topLinePunct w:val="0"/>
        <w:autoSpaceDE/>
        <w:autoSpaceDN/>
        <w:bidi w:val="0"/>
        <w:adjustRightInd/>
        <w:snapToGrid/>
        <w:spacing w:before="120" w:after="120" w:line="360" w:lineRule="auto"/>
        <w:ind w:firstLine="422" w:firstLineChars="200"/>
        <w:textAlignment w:val="auto"/>
        <w:rPr>
          <w:rFonts w:hint="eastAsia" w:ascii="宋体" w:hAnsi="宋体" w:eastAsia="宋体" w:cs="宋体"/>
          <w:b/>
          <w:bCs/>
          <w:sz w:val="21"/>
          <w:szCs w:val="21"/>
        </w:rPr>
      </w:pPr>
      <w:bookmarkStart w:id="1583" w:name="_Toc314789077"/>
      <w:bookmarkStart w:id="1584" w:name="_Toc257188335"/>
      <w:bookmarkStart w:id="1585" w:name="_Toc477415431"/>
      <w:bookmarkStart w:id="1586" w:name="_Toc405818850"/>
      <w:bookmarkStart w:id="1587" w:name="_Toc402351839"/>
      <w:bookmarkStart w:id="1588" w:name="_Toc322003396"/>
      <w:r>
        <w:rPr>
          <w:rFonts w:hint="eastAsia" w:ascii="宋体" w:hAnsi="宋体" w:eastAsia="宋体" w:cs="宋体"/>
          <w:b/>
          <w:bCs/>
          <w:snapToGrid w:val="0"/>
          <w:sz w:val="21"/>
          <w:szCs w:val="21"/>
        </w:rPr>
        <w:t>3.3.2.2 服务地点</w:t>
      </w:r>
    </w:p>
    <w:p w14:paraId="6329948B">
      <w:pPr>
        <w:pageBreakBefore w:val="0"/>
        <w:widowControl w:val="0"/>
        <w:kinsoku/>
        <w:wordWrap/>
        <w:overflowPunct/>
        <w:topLinePunct w:val="0"/>
        <w:autoSpaceDE/>
        <w:autoSpaceDN/>
        <w:bidi w:val="0"/>
        <w:adjustRightInd/>
        <w:snapToGrid/>
        <w:spacing w:before="120" w:after="12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甲方指定地点</w:t>
      </w:r>
    </w:p>
    <w:bookmarkEnd w:id="1583"/>
    <w:bookmarkEnd w:id="1584"/>
    <w:bookmarkEnd w:id="1585"/>
    <w:bookmarkEnd w:id="1586"/>
    <w:bookmarkEnd w:id="1587"/>
    <w:bookmarkEnd w:id="1588"/>
    <w:p w14:paraId="7185A76E">
      <w:pPr>
        <w:keepNext/>
        <w:keepLines/>
        <w:pageBreakBefore w:val="0"/>
        <w:widowControl w:val="0"/>
        <w:kinsoku/>
        <w:wordWrap/>
        <w:overflowPunct/>
        <w:topLinePunct w:val="0"/>
        <w:autoSpaceDE/>
        <w:autoSpaceDN/>
        <w:bidi w:val="0"/>
        <w:adjustRightInd/>
        <w:snapToGrid/>
        <w:spacing w:before="120" w:after="120" w:line="360" w:lineRule="auto"/>
        <w:ind w:firstLine="422" w:firstLineChars="200"/>
        <w:jc w:val="both"/>
        <w:textAlignment w:val="auto"/>
        <w:outlineLvl w:val="3"/>
        <w:rPr>
          <w:rFonts w:hint="default"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3.3.3保修期</w:t>
      </w:r>
    </w:p>
    <w:p w14:paraId="391EE328">
      <w:pPr>
        <w:pageBreakBefore w:val="0"/>
        <w:widowControl w:val="0"/>
        <w:kinsoku/>
        <w:wordWrap/>
        <w:overflowPunct/>
        <w:topLinePunct w:val="0"/>
        <w:autoSpaceDE/>
        <w:autoSpaceDN/>
        <w:bidi w:val="0"/>
        <w:adjustRightInd/>
        <w:snapToGrid/>
        <w:spacing w:before="120" w:after="120" w:line="360" w:lineRule="auto"/>
        <w:ind w:firstLine="420" w:firstLineChars="200"/>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乙方提供36个月维保服务。</w:t>
      </w:r>
    </w:p>
    <w:p w14:paraId="69E0A44E">
      <w:pPr>
        <w:numPr>
          <w:ilvl w:val="3"/>
          <w:numId w:val="0"/>
        </w:numPr>
        <w:tabs>
          <w:tab w:val="left" w:pos="0"/>
        </w:tabs>
        <w:ind w:left="240"/>
        <w:rPr>
          <w:rFonts w:hint="eastAsia" w:ascii="宋体" w:hAnsi="宋体" w:eastAsia="宋体" w:cs="宋体"/>
          <w:b/>
          <w:bCs/>
          <w:snapToGrid w:val="0"/>
          <w:sz w:val="21"/>
          <w:szCs w:val="21"/>
        </w:rPr>
      </w:pPr>
      <w:r>
        <w:rPr>
          <w:rFonts w:hint="eastAsia" w:ascii="宋体" w:hAnsi="宋体" w:eastAsia="宋体" w:cs="宋体"/>
          <w:b/>
          <w:bCs/>
          <w:snapToGrid w:val="0"/>
          <w:sz w:val="21"/>
          <w:szCs w:val="21"/>
        </w:rPr>
        <w:t>3.3.3.1安装调测</w:t>
      </w:r>
    </w:p>
    <w:p w14:paraId="25E41FB1">
      <w:pPr>
        <w:rPr>
          <w:rFonts w:hint="eastAsia" w:ascii="宋体" w:hAnsi="宋体" w:eastAsia="宋体" w:cs="宋体"/>
          <w:b/>
          <w:bCs/>
          <w:snapToGrid w:val="0"/>
          <w:sz w:val="21"/>
          <w:szCs w:val="21"/>
          <w:highlight w:val="none"/>
        </w:rPr>
      </w:pPr>
      <w:r>
        <w:rPr>
          <w:rFonts w:hint="eastAsia" w:ascii="宋体" w:hAnsi="宋体" w:eastAsia="宋体" w:cs="宋体"/>
          <w:b/>
          <w:bCs/>
          <w:snapToGrid w:val="0"/>
          <w:sz w:val="21"/>
          <w:szCs w:val="21"/>
          <w:highlight w:val="none"/>
        </w:rPr>
        <w:t>服务规范</w:t>
      </w:r>
    </w:p>
    <w:p w14:paraId="77919EF6">
      <w:pPr>
        <w:widowControl w:val="0"/>
        <w:numPr>
          <w:ilvl w:val="0"/>
          <w:numId w:val="10"/>
        </w:numPr>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系统功能规范</w:t>
      </w:r>
    </w:p>
    <w:p w14:paraId="24873AAC">
      <w:pPr>
        <w:widowControl w:val="0"/>
        <w:numPr>
          <w:ilvl w:val="0"/>
          <w:numId w:val="0"/>
        </w:numPr>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满足“3.3项目建设内容具体要求”。</w:t>
      </w:r>
    </w:p>
    <w:p w14:paraId="2DA9BB4E">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（2）系统设施规范</w:t>
      </w:r>
    </w:p>
    <w:p w14:paraId="1DB0233C">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床旁自助服务：采用触摸屏操作，支持无线；支持wi-fi 连接，确保快速稳定的数据传输。外壳使用抗菌材料，支持紫外线消毒，适应医院卫生要求。</w:t>
      </w:r>
    </w:p>
    <w:p w14:paraId="51E439A8">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（3）数据安全与隐私保护规范</w:t>
      </w:r>
    </w:p>
    <w:p w14:paraId="6A609B3B">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数据加密：采用高级加密标准，确保患者数据传输与存储安全。</w:t>
      </w:r>
    </w:p>
    <w:p w14:paraId="3DA392B3">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权限管理：设置多级权限控制，仅授权人员可访问患者敏感信息。</w:t>
      </w:r>
    </w:p>
    <w:p w14:paraId="1D9E8332">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（4）人员培训与服务规范</w:t>
      </w:r>
    </w:p>
    <w:p w14:paraId="2131D394">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培训服务：为医院相关工作人员提供系统操作培训，包括医护人员、财务人员等，确保其能够熟练使用床旁结算系统，为患者提供高效、专业的服务。</w:t>
      </w:r>
    </w:p>
    <w:p w14:paraId="3EDDA6AD">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服务响应：建立及时有效的服务响应机制，在系统出现故障或问题时，能够快速响应并解决，确保系统的正常运行，减少对患者结算服务的影响。</w:t>
      </w:r>
    </w:p>
    <w:p w14:paraId="3397DC85">
      <w:pPr>
        <w:widowControl w:val="0"/>
        <w:ind w:firstLine="42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定期维护：定期对床旁结算系统进行维护和升级，优化系统性能，提升系统的稳定性和安全性，以更好地满足医院和患者的需求。</w:t>
      </w:r>
    </w:p>
    <w:p w14:paraId="0B811126">
      <w:pPr>
        <w:numPr>
          <w:ilvl w:val="3"/>
          <w:numId w:val="0"/>
        </w:numPr>
        <w:tabs>
          <w:tab w:val="left" w:pos="0"/>
        </w:tabs>
        <w:ind w:left="240"/>
        <w:rPr>
          <w:rFonts w:hint="eastAsia" w:ascii="宋体" w:hAnsi="宋体" w:eastAsia="宋体" w:cs="宋体"/>
          <w:sz w:val="21"/>
          <w:szCs w:val="21"/>
        </w:rPr>
      </w:pPr>
      <w:bookmarkStart w:id="1589" w:name="_Toc477415427"/>
      <w:r>
        <w:rPr>
          <w:rFonts w:hint="eastAsia" w:ascii="宋体" w:hAnsi="宋体" w:eastAsia="宋体" w:cs="宋体"/>
          <w:b/>
          <w:bCs/>
          <w:snapToGrid w:val="0"/>
          <w:sz w:val="21"/>
          <w:szCs w:val="21"/>
        </w:rPr>
        <w:t>3.3.3</w:t>
      </w:r>
      <w:r>
        <w:rPr>
          <w:rFonts w:hint="eastAsia" w:ascii="宋体" w:hAnsi="宋体" w:eastAsia="宋体" w:cs="宋体"/>
          <w:b/>
          <w:bCs/>
          <w:sz w:val="21"/>
          <w:szCs w:val="21"/>
        </w:rPr>
        <w:t>.2验收</w:t>
      </w:r>
      <w:r>
        <w:rPr>
          <w:rFonts w:hint="eastAsia" w:ascii="宋体" w:hAnsi="宋体" w:eastAsia="宋体" w:cs="宋体"/>
          <w:b/>
          <w:bCs/>
          <w:color w:val="FF0000"/>
          <w:sz w:val="21"/>
          <w:szCs w:val="21"/>
        </w:rPr>
        <w:t xml:space="preserve"> </w:t>
      </w:r>
      <w:bookmarkEnd w:id="1589"/>
    </w:p>
    <w:p w14:paraId="0558AD97">
      <w:pPr>
        <w:tabs>
          <w:tab w:val="left" w:pos="0"/>
        </w:tabs>
        <w:rPr>
          <w:rFonts w:hint="eastAsia" w:ascii="宋体" w:hAnsi="宋体" w:eastAsia="宋体" w:cs="宋体"/>
          <w:sz w:val="21"/>
          <w:szCs w:val="21"/>
        </w:rPr>
      </w:pPr>
      <w:bookmarkStart w:id="1590" w:name="_Toc477415428"/>
      <w:r>
        <w:rPr>
          <w:rFonts w:hint="eastAsia" w:ascii="宋体" w:hAnsi="宋体" w:eastAsia="宋体" w:cs="宋体"/>
          <w:sz w:val="21"/>
          <w:szCs w:val="21"/>
        </w:rPr>
        <w:t>（1）</w:t>
      </w:r>
      <w:bookmarkEnd w:id="1590"/>
      <w:r>
        <w:rPr>
          <w:rFonts w:hint="eastAsia" w:ascii="宋体" w:hAnsi="宋体" w:eastAsia="宋体" w:cs="宋体"/>
          <w:sz w:val="21"/>
          <w:szCs w:val="21"/>
        </w:rPr>
        <w:t>验收</w:t>
      </w:r>
    </w:p>
    <w:p w14:paraId="64F578D4">
      <w:pPr>
        <w:widowControl w:val="0"/>
        <w:adjustRightInd w:val="0"/>
        <w:snapToGrid w:val="0"/>
        <w:spacing w:line="360" w:lineRule="auto"/>
        <w:ind w:firstLine="567"/>
        <w:jc w:val="left"/>
        <w:textAlignment w:val="baseline"/>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安装调试完毕之日起，经过</w:t>
      </w:r>
      <w:r>
        <w:rPr>
          <w:rFonts w:hint="eastAsia" w:ascii="宋体" w:hAnsi="宋体" w:eastAsia="宋体" w:cs="宋体"/>
          <w:color w:val="000000"/>
          <w:kern w:val="2"/>
          <w:sz w:val="21"/>
          <w:szCs w:val="21"/>
          <w:highlight w:val="none"/>
          <w:lang w:val="en-US" w:eastAsia="zh-CN" w:bidi="ar-SA"/>
        </w:rPr>
        <w:t>[7日]</w:t>
      </w:r>
      <w:r>
        <w:rPr>
          <w:rFonts w:hint="eastAsia" w:ascii="宋体" w:hAnsi="宋体" w:eastAsia="宋体" w:cs="宋体"/>
          <w:color w:val="000000"/>
          <w:kern w:val="2"/>
          <w:sz w:val="21"/>
          <w:szCs w:val="21"/>
          <w:lang w:val="en-US" w:eastAsia="zh-CN" w:bidi="ar-SA"/>
        </w:rPr>
        <w:t>正式运行期，所有功能及性能指标达到技术规范书的要求时, 可进行最终验收。在试运行期间, 由于医院网络系统、问题等造成某些指标达不到要求, 允许供应商更换或进行修复, 但运行期相应顺延。在顺延期间内乙方应同供应商进行协调，尽快解决问题以满足终验条件。在全部达到要求时，甲乙双方签署 “验收报告”。</w:t>
      </w:r>
    </w:p>
    <w:p w14:paraId="3203BB6E">
      <w:pPr>
        <w:keepNext/>
        <w:keepLines/>
        <w:widowControl w:val="0"/>
        <w:spacing w:before="280" w:after="290" w:line="372" w:lineRule="auto"/>
        <w:jc w:val="both"/>
        <w:outlineLvl w:val="3"/>
        <w:rPr>
          <w:rFonts w:hint="eastAsia" w:ascii="宋体" w:hAnsi="宋体" w:eastAsia="宋体" w:cs="宋体"/>
          <w:b/>
          <w:kern w:val="2"/>
          <w:sz w:val="21"/>
          <w:szCs w:val="21"/>
          <w:lang w:val="en-US" w:eastAsia="zh-CN" w:bidi="ar-SA"/>
        </w:rPr>
      </w:pPr>
      <w:r>
        <w:rPr>
          <w:rFonts w:hint="eastAsia" w:ascii="宋体" w:hAnsi="宋体" w:eastAsia="宋体" w:cs="宋体"/>
          <w:b/>
          <w:kern w:val="2"/>
          <w:sz w:val="21"/>
          <w:szCs w:val="21"/>
          <w:lang w:val="en-US" w:eastAsia="zh-CN" w:bidi="ar-SA"/>
        </w:rPr>
        <w:t>3.3.4 技术服务和技术培训</w:t>
      </w:r>
    </w:p>
    <w:p w14:paraId="61BF1C4B">
      <w:pPr>
        <w:rPr>
          <w:rFonts w:hint="eastAsia" w:ascii="宋体" w:hAnsi="宋体" w:eastAsia="宋体" w:cs="宋体"/>
          <w:b/>
          <w:bCs/>
          <w:sz w:val="21"/>
          <w:szCs w:val="21"/>
        </w:rPr>
      </w:pPr>
      <w:r>
        <w:rPr>
          <w:rFonts w:hint="eastAsia" w:ascii="宋体" w:hAnsi="宋体" w:eastAsia="宋体" w:cs="宋体"/>
          <w:b/>
          <w:bCs/>
          <w:sz w:val="21"/>
          <w:szCs w:val="21"/>
        </w:rPr>
        <w:t>3.3.4.1技术服务</w:t>
      </w:r>
    </w:p>
    <w:p w14:paraId="0061685A">
      <w:pPr>
        <w:rPr>
          <w:rFonts w:hint="eastAsia" w:ascii="宋体" w:hAnsi="宋体" w:eastAsia="宋体" w:cs="宋体"/>
          <w:sz w:val="21"/>
          <w:szCs w:val="21"/>
        </w:rPr>
      </w:pPr>
      <w:r>
        <w:rPr>
          <w:rFonts w:hint="eastAsia" w:ascii="宋体" w:hAnsi="宋体" w:eastAsia="宋体" w:cs="宋体"/>
          <w:sz w:val="21"/>
          <w:szCs w:val="21"/>
        </w:rPr>
        <w:t>（1）乙方应提供本项目所提供系统及相关服务的技术资料，乙方有责任在保证安全和质量的前提下提供技术服务，包括：技术咨询、技术资料、技术说明书、操作手册、维护手册等。</w:t>
      </w:r>
    </w:p>
    <w:p w14:paraId="51A07BD2">
      <w:pPr>
        <w:rPr>
          <w:rFonts w:hint="eastAsia" w:ascii="宋体" w:hAnsi="宋体" w:eastAsia="宋体" w:cs="宋体"/>
          <w:sz w:val="21"/>
          <w:szCs w:val="21"/>
        </w:rPr>
      </w:pPr>
      <w:r>
        <w:rPr>
          <w:rFonts w:hint="eastAsia" w:ascii="宋体" w:hAnsi="宋体" w:eastAsia="宋体" w:cs="宋体"/>
          <w:sz w:val="21"/>
          <w:szCs w:val="21"/>
        </w:rPr>
        <w:t>（2）在安装调测期间，甲方有权派出技术人员参加，乙方有义务对其进行指导。</w:t>
      </w:r>
    </w:p>
    <w:p w14:paraId="1A180D28">
      <w:pPr>
        <w:rPr>
          <w:rFonts w:hint="eastAsia" w:ascii="宋体" w:hAnsi="宋体" w:eastAsia="宋体" w:cs="宋体"/>
          <w:color w:val="000000"/>
          <w:sz w:val="21"/>
          <w:szCs w:val="21"/>
        </w:rPr>
      </w:pPr>
      <w:r>
        <w:rPr>
          <w:rFonts w:hint="eastAsia" w:ascii="宋体" w:hAnsi="宋体" w:eastAsia="宋体" w:cs="宋体"/>
          <w:color w:val="000000"/>
          <w:sz w:val="21"/>
          <w:szCs w:val="21"/>
        </w:rPr>
        <w:t>（3）在试运行期间，根据需要乙方有责任派技术人员到现场指导维护工作。</w:t>
      </w:r>
    </w:p>
    <w:p w14:paraId="5805037F">
      <w:pPr>
        <w:rPr>
          <w:rFonts w:hint="eastAsia" w:ascii="宋体" w:hAnsi="宋体" w:eastAsia="宋体" w:cs="宋体"/>
          <w:color w:val="000000"/>
          <w:sz w:val="21"/>
          <w:szCs w:val="21"/>
        </w:rPr>
      </w:pPr>
      <w:r>
        <w:rPr>
          <w:rFonts w:hint="eastAsia" w:ascii="宋体" w:hAnsi="宋体" w:eastAsia="宋体" w:cs="宋体"/>
          <w:color w:val="000000"/>
          <w:sz w:val="21"/>
          <w:szCs w:val="21"/>
        </w:rPr>
        <w:t>（4）乙方应对本项目所提供服务提供[7×24]小时电话技术服务。</w:t>
      </w:r>
    </w:p>
    <w:p w14:paraId="6F23A30F">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（5）在发生故障的情况下，乙方承诺一般故障4小时内排除故障，较大故障8小时内排除故障，重大故障48小时内排除故障。 </w:t>
      </w:r>
    </w:p>
    <w:p w14:paraId="3BC38AA8">
      <w:pPr>
        <w:rPr>
          <w:rFonts w:hint="eastAsia" w:ascii="宋体" w:hAnsi="宋体" w:eastAsia="宋体" w:cs="宋体"/>
          <w:sz w:val="21"/>
          <w:szCs w:val="21"/>
        </w:rPr>
      </w:pPr>
      <w:r>
        <w:rPr>
          <w:rFonts w:hint="eastAsia" w:ascii="宋体" w:hAnsi="宋体" w:eastAsia="宋体" w:cs="宋体"/>
          <w:color w:val="000000"/>
          <w:sz w:val="21"/>
          <w:szCs w:val="21"/>
        </w:rPr>
        <w:t>（6）</w:t>
      </w:r>
      <w:r>
        <w:rPr>
          <w:rFonts w:hint="eastAsia" w:ascii="宋体" w:hAnsi="宋体" w:eastAsia="宋体" w:cs="宋体"/>
          <w:color w:val="000000"/>
          <w:kern w:val="0"/>
          <w:sz w:val="21"/>
          <w:szCs w:val="21"/>
        </w:rPr>
        <w:t>现场技术支持服务，</w:t>
      </w:r>
      <w:r>
        <w:rPr>
          <w:rFonts w:hint="eastAsia" w:ascii="宋体" w:hAnsi="宋体" w:eastAsia="宋体" w:cs="宋体"/>
          <w:color w:val="000000"/>
          <w:sz w:val="21"/>
          <w:szCs w:val="21"/>
        </w:rPr>
        <w:t>乙方应承诺在维保期内可根据甲</w:t>
      </w:r>
      <w:r>
        <w:rPr>
          <w:rFonts w:hint="eastAsia" w:ascii="宋体" w:hAnsi="宋体" w:eastAsia="宋体" w:cs="宋体"/>
          <w:sz w:val="21"/>
          <w:szCs w:val="21"/>
        </w:rPr>
        <w:t>方要求免费提供现场技术支持服务。相应的服务要求如下：</w:t>
      </w:r>
    </w:p>
    <w:p w14:paraId="3EEB0678">
      <w:pPr>
        <w:rPr>
          <w:rFonts w:hint="eastAsia" w:ascii="宋体" w:hAnsi="宋体" w:eastAsia="宋体" w:cs="宋体"/>
          <w:sz w:val="21"/>
          <w:szCs w:val="21"/>
        </w:rPr>
      </w:pPr>
      <w:r>
        <w:rPr>
          <w:rFonts w:hint="eastAsia" w:ascii="宋体" w:hAnsi="宋体" w:eastAsia="宋体" w:cs="宋体"/>
          <w:sz w:val="21"/>
          <w:szCs w:val="21"/>
        </w:rPr>
        <w:t>（a）当本项目所提供服务发生故障需要或需要提供技术支持时，甲方以电话、邮件或传真等方式说明故障现象。</w:t>
      </w:r>
    </w:p>
    <w:p w14:paraId="17C43A08">
      <w:pPr>
        <w:rPr>
          <w:rFonts w:hint="eastAsia" w:ascii="宋体" w:hAnsi="宋体" w:eastAsia="宋体" w:cs="宋体"/>
          <w:sz w:val="21"/>
          <w:szCs w:val="21"/>
        </w:rPr>
      </w:pPr>
      <w:r>
        <w:rPr>
          <w:rFonts w:hint="eastAsia" w:ascii="宋体" w:hAnsi="宋体" w:eastAsia="宋体" w:cs="宋体"/>
          <w:sz w:val="21"/>
          <w:szCs w:val="21"/>
        </w:rPr>
        <w:t>（b）电话支持</w:t>
      </w:r>
    </w:p>
    <w:p w14:paraId="70839ED8">
      <w:pPr>
        <w:rPr>
          <w:rFonts w:hint="eastAsia" w:ascii="宋体" w:hAnsi="宋体" w:eastAsia="宋体" w:cs="宋体"/>
          <w:sz w:val="21"/>
          <w:szCs w:val="21"/>
        </w:rPr>
      </w:pPr>
      <w:r>
        <w:rPr>
          <w:rFonts w:hint="eastAsia" w:ascii="宋体" w:hAnsi="宋体" w:eastAsia="宋体" w:cs="宋体"/>
          <w:sz w:val="21"/>
          <w:szCs w:val="21"/>
        </w:rPr>
        <w:t>乙方指定技术人员将通过电话进行技术支持，协助和指导甲方的技术人员确定故障原因，找出解决方法。必要时，乙方应指定离故障地点最近的相关办事处技术人员负责直接处理。</w:t>
      </w:r>
    </w:p>
    <w:p w14:paraId="73DB6F87">
      <w:pPr>
        <w:rPr>
          <w:rFonts w:hint="eastAsia" w:ascii="宋体" w:hAnsi="宋体" w:eastAsia="宋体" w:cs="宋体"/>
          <w:sz w:val="21"/>
          <w:szCs w:val="21"/>
        </w:rPr>
      </w:pPr>
      <w:r>
        <w:rPr>
          <w:rFonts w:hint="eastAsia" w:ascii="宋体" w:hAnsi="宋体" w:eastAsia="宋体" w:cs="宋体"/>
          <w:sz w:val="21"/>
          <w:szCs w:val="21"/>
        </w:rPr>
        <w:t>（c）远程支持</w:t>
      </w:r>
    </w:p>
    <w:p w14:paraId="4B6B61A1">
      <w:pPr>
        <w:rPr>
          <w:rFonts w:hint="eastAsia" w:ascii="宋体" w:hAnsi="宋体" w:eastAsia="宋体" w:cs="宋体"/>
          <w:sz w:val="21"/>
          <w:szCs w:val="21"/>
        </w:rPr>
      </w:pPr>
      <w:r>
        <w:rPr>
          <w:rFonts w:hint="eastAsia" w:ascii="宋体" w:hAnsi="宋体" w:eastAsia="宋体" w:cs="宋体"/>
          <w:sz w:val="21"/>
          <w:szCs w:val="21"/>
        </w:rPr>
        <w:t>当电话支持不足以解决问题或故障情况比较复杂时，在甲方同意后，乙方可通过远程登录的方式登录进入甲方局域网，乙方的技术人员在甲方技术人员的协助下确定故障原因，找出解决办法。</w:t>
      </w:r>
    </w:p>
    <w:p w14:paraId="721A431D">
      <w:pPr>
        <w:rPr>
          <w:rFonts w:hint="eastAsia" w:ascii="宋体" w:hAnsi="宋体" w:eastAsia="宋体" w:cs="宋体"/>
          <w:sz w:val="21"/>
          <w:szCs w:val="21"/>
        </w:rPr>
      </w:pPr>
      <w:r>
        <w:rPr>
          <w:rFonts w:hint="eastAsia" w:ascii="宋体" w:hAnsi="宋体" w:eastAsia="宋体" w:cs="宋体"/>
          <w:sz w:val="21"/>
          <w:szCs w:val="21"/>
        </w:rPr>
        <w:t>（d）现场支持</w:t>
      </w:r>
    </w:p>
    <w:p w14:paraId="49C55F36">
      <w:pPr>
        <w:widowControl w:val="0"/>
        <w:ind w:firstLine="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当电话支持和远程支持都不足以解决问题，确需技术人员到现场时，根据甲方要求，乙方需派指定技术人员赶赴现场。</w:t>
      </w:r>
    </w:p>
    <w:p w14:paraId="313EF1F2">
      <w:pPr>
        <w:rPr>
          <w:rFonts w:hint="eastAsia" w:ascii="宋体" w:hAnsi="宋体" w:eastAsia="宋体" w:cs="宋体"/>
          <w:b/>
          <w:bCs/>
          <w:sz w:val="21"/>
          <w:szCs w:val="21"/>
        </w:rPr>
      </w:pPr>
      <w:bookmarkStart w:id="1591" w:name="_Toc527633476"/>
      <w:bookmarkStart w:id="1592" w:name="_Toc477415435"/>
      <w:bookmarkStart w:id="1593" w:name="_Toc24530458"/>
      <w:bookmarkStart w:id="1594" w:name="_Toc343680581"/>
      <w:bookmarkStart w:id="1595" w:name="_Toc508586985"/>
      <w:r>
        <w:rPr>
          <w:rFonts w:hint="eastAsia" w:ascii="宋体" w:hAnsi="宋体" w:eastAsia="宋体" w:cs="宋体"/>
          <w:b/>
          <w:bCs/>
          <w:sz w:val="21"/>
          <w:szCs w:val="21"/>
        </w:rPr>
        <w:t>3.3.4.2技术培训</w:t>
      </w:r>
      <w:bookmarkEnd w:id="1591"/>
      <w:bookmarkEnd w:id="1592"/>
      <w:bookmarkEnd w:id="1593"/>
      <w:bookmarkEnd w:id="1594"/>
      <w:bookmarkEnd w:id="1595"/>
    </w:p>
    <w:p w14:paraId="7DE332C2">
      <w:pPr>
        <w:ind w:left="-4"/>
        <w:rPr>
          <w:rFonts w:hint="eastAsia" w:ascii="宋体" w:hAnsi="宋体" w:eastAsia="宋体" w:cs="宋体"/>
          <w:sz w:val="21"/>
          <w:szCs w:val="21"/>
        </w:rPr>
      </w:pPr>
      <w:r>
        <w:rPr>
          <w:rFonts w:hint="eastAsia" w:ascii="宋体" w:hAnsi="宋体" w:eastAsia="宋体" w:cs="宋体"/>
          <w:sz w:val="21"/>
          <w:szCs w:val="21"/>
        </w:rPr>
        <w:t>乙方应负责对甲方的管理、操作、维护人员的技术培训，培训内容包括但不仅限于：</w:t>
      </w:r>
    </w:p>
    <w:p w14:paraId="4EDF7D72">
      <w:pPr>
        <w:ind w:left="-4"/>
        <w:rPr>
          <w:rFonts w:hint="eastAsia" w:ascii="宋体" w:hAnsi="宋体" w:eastAsia="宋体" w:cs="宋体"/>
          <w:sz w:val="21"/>
          <w:szCs w:val="21"/>
        </w:rPr>
      </w:pPr>
      <w:r>
        <w:rPr>
          <w:rFonts w:hint="eastAsia" w:ascii="宋体" w:hAnsi="宋体" w:eastAsia="宋体" w:cs="宋体"/>
          <w:sz w:val="21"/>
          <w:szCs w:val="21"/>
        </w:rPr>
        <w:t>（1）对本项目所提供系统的安装、调试培训，并提供相应的培训资料。</w:t>
      </w:r>
    </w:p>
    <w:p w14:paraId="79B848FE">
      <w:pPr>
        <w:tabs>
          <w:tab w:val="left" w:pos="2160"/>
        </w:tabs>
        <w:ind w:left="-4"/>
        <w:rPr>
          <w:rFonts w:hint="eastAsia" w:ascii="宋体" w:hAnsi="宋体" w:eastAsia="宋体" w:cs="宋体"/>
          <w:sz w:val="21"/>
          <w:szCs w:val="21"/>
        </w:rPr>
      </w:pPr>
      <w:r>
        <w:rPr>
          <w:rFonts w:hint="eastAsia" w:ascii="宋体" w:hAnsi="宋体" w:eastAsia="宋体" w:cs="宋体"/>
          <w:sz w:val="21"/>
          <w:szCs w:val="21"/>
        </w:rPr>
        <w:t>（2）对本项目所提供系统的操作培训，并提供相应的培训资料。</w:t>
      </w:r>
    </w:p>
    <w:p w14:paraId="00828FEE">
      <w:pPr>
        <w:ind w:left="-4"/>
        <w:rPr>
          <w:rFonts w:hint="eastAsia" w:ascii="宋体" w:hAnsi="宋体" w:eastAsia="宋体" w:cs="宋体"/>
          <w:sz w:val="21"/>
          <w:szCs w:val="21"/>
        </w:rPr>
      </w:pPr>
      <w:r>
        <w:rPr>
          <w:rFonts w:hint="eastAsia" w:ascii="宋体" w:hAnsi="宋体" w:eastAsia="宋体" w:cs="宋体"/>
          <w:sz w:val="21"/>
          <w:szCs w:val="21"/>
        </w:rPr>
        <w:t>（3）对本项目所提供系统维护培训，并提供相应的培训资料，满足甲方能独立进行本项目所提供服务的维护需要。</w:t>
      </w:r>
    </w:p>
    <w:p w14:paraId="14D676FF">
      <w:pPr>
        <w:rPr>
          <w:rFonts w:hint="eastAsia" w:ascii="宋体" w:hAnsi="宋体" w:eastAsia="宋体" w:cs="宋体"/>
          <w:b/>
          <w:bCs/>
          <w:sz w:val="21"/>
          <w:szCs w:val="21"/>
        </w:rPr>
      </w:pPr>
      <w:bookmarkStart w:id="1596" w:name="_Toc167271976"/>
      <w:bookmarkStart w:id="1597" w:name="_Toc198708785"/>
      <w:bookmarkStart w:id="1598" w:name="_Toc146092618"/>
      <w:bookmarkStart w:id="1599" w:name="_Toc210280727"/>
      <w:bookmarkStart w:id="1600" w:name="_Toc212279674"/>
      <w:bookmarkStart w:id="1601" w:name="_Toc101251920"/>
      <w:bookmarkStart w:id="1602" w:name="_Toc193597851"/>
      <w:bookmarkStart w:id="1603" w:name="_Toc101257004"/>
      <w:bookmarkStart w:id="1604" w:name="_Toc236556281"/>
      <w:bookmarkStart w:id="1605" w:name="_Toc211758002"/>
      <w:bookmarkStart w:id="1606" w:name="_Toc244681349"/>
      <w:bookmarkStart w:id="1607" w:name="_Toc211758134"/>
      <w:bookmarkStart w:id="1608" w:name="_Toc244681377"/>
      <w:bookmarkStart w:id="1609" w:name="_Toc206818258"/>
      <w:r>
        <w:rPr>
          <w:rFonts w:hint="eastAsia" w:ascii="宋体" w:hAnsi="宋体" w:eastAsia="宋体" w:cs="宋体"/>
          <w:b/>
          <w:bCs/>
          <w:sz w:val="21"/>
          <w:szCs w:val="21"/>
        </w:rPr>
        <w:t>3.3.4.3技术资料</w:t>
      </w:r>
    </w:p>
    <w:p w14:paraId="27614A2E">
      <w:pPr>
        <w:rPr>
          <w:rFonts w:hint="eastAsia" w:ascii="宋体" w:hAnsi="宋体" w:eastAsia="宋体" w:cs="宋体"/>
          <w:sz w:val="21"/>
          <w:szCs w:val="21"/>
        </w:rPr>
      </w:pPr>
      <w:r>
        <w:rPr>
          <w:rFonts w:hint="eastAsia" w:ascii="宋体" w:hAnsi="宋体" w:eastAsia="宋体" w:cs="宋体"/>
          <w:sz w:val="21"/>
          <w:szCs w:val="21"/>
        </w:rPr>
        <w:t>乙方提供的书面技术资料应能满足系统正常运行所需的管理、运营及维护的全套文件。乙方提供的技术资料至少应包括：</w:t>
      </w:r>
    </w:p>
    <w:p w14:paraId="3C839FF3">
      <w:pPr>
        <w:rPr>
          <w:rFonts w:hint="eastAsia" w:ascii="宋体" w:hAnsi="宋体" w:eastAsia="宋体" w:cs="宋体"/>
          <w:sz w:val="21"/>
          <w:szCs w:val="21"/>
        </w:rPr>
      </w:pPr>
      <w:r>
        <w:rPr>
          <w:rFonts w:hint="eastAsia" w:ascii="宋体" w:hAnsi="宋体" w:eastAsia="宋体" w:cs="宋体"/>
          <w:sz w:val="21"/>
          <w:szCs w:val="21"/>
        </w:rPr>
        <w:t>技术手册（安装、调测、操作、维护、故障排除等）</w:t>
      </w:r>
    </w:p>
    <w:p w14:paraId="592CEA65">
      <w:pPr>
        <w:rPr>
          <w:rFonts w:hint="eastAsia" w:ascii="宋体" w:hAnsi="宋体" w:eastAsia="宋体" w:cs="宋体"/>
          <w:sz w:val="21"/>
          <w:szCs w:val="21"/>
        </w:rPr>
      </w:pPr>
      <w:r>
        <w:rPr>
          <w:rFonts w:hint="eastAsia" w:ascii="宋体" w:hAnsi="宋体" w:eastAsia="宋体" w:cs="宋体"/>
          <w:sz w:val="21"/>
          <w:szCs w:val="21"/>
        </w:rPr>
        <w:t>用户使用手册</w:t>
      </w:r>
      <w:bookmarkStart w:id="1610" w:name="_Toc4417"/>
    </w:p>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p w14:paraId="4304FA1B">
      <w:pPr>
        <w:keepNext/>
        <w:keepLines/>
        <w:widowControl w:val="0"/>
        <w:spacing w:before="260" w:after="260" w:line="416" w:lineRule="auto"/>
        <w:jc w:val="both"/>
        <w:outlineLvl w:val="1"/>
        <w:rPr>
          <w:rFonts w:hint="eastAsia" w:ascii="宋体" w:hAnsi="宋体" w:eastAsia="宋体" w:cs="宋体"/>
          <w:kern w:val="0"/>
          <w:sz w:val="21"/>
          <w:szCs w:val="21"/>
          <w:lang w:val="en-US" w:eastAsia="zh-CN" w:bidi="ar-SA"/>
        </w:rPr>
      </w:pPr>
      <w:bookmarkStart w:id="1611" w:name="_Toc26040"/>
      <w:bookmarkStart w:id="1612" w:name="_Toc5"/>
      <w:r>
        <w:rPr>
          <w:rFonts w:hint="eastAsia" w:ascii="宋体" w:hAnsi="宋体" w:eastAsia="宋体" w:cs="宋体"/>
          <w:kern w:val="0"/>
          <w:sz w:val="21"/>
          <w:szCs w:val="21"/>
          <w:lang w:val="en-US" w:eastAsia="zh-CN" w:bidi="ar-SA"/>
        </w:rPr>
        <w:t>4.付款约定</w:t>
      </w:r>
      <w:bookmarkEnd w:id="1611"/>
      <w:bookmarkEnd w:id="1612"/>
    </w:p>
    <w:p w14:paraId="0B86D10C">
      <w:pPr>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甲乙双方签订合同，乙方完成所有移动支付服务工作 ，验收合格后乙方提供以下材料后30个工作日内支付合同金额97%的款项。</w:t>
      </w:r>
    </w:p>
    <w:p w14:paraId="56842F6C">
      <w:pPr>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（1）相应金额的、符合国家规定的增值税专用发票</w:t>
      </w:r>
    </w:p>
    <w:p w14:paraId="38AD295D">
      <w:pPr>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（2）项目验收报告原件一份。</w:t>
      </w:r>
    </w:p>
    <w:p w14:paraId="061ECC2C">
      <w:pPr>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（3）付款通知书，原件一份。</w:t>
      </w:r>
    </w:p>
    <w:p w14:paraId="64A1513A">
      <w:pPr>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验收合格之日起满一年后无质量问题，甲方收到乙方发票30个工作日内支付剩下3%的款项:</w:t>
      </w:r>
    </w:p>
    <w:p w14:paraId="460BDBC6">
      <w:pPr>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（1）付款通知书，原件一份。</w:t>
      </w:r>
    </w:p>
    <w:p w14:paraId="338781BB">
      <w:pPr>
        <w:ind w:firstLine="42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（2）相应金额的、符合国家规定的增值税专用发票。</w:t>
      </w:r>
    </w:p>
    <w:p w14:paraId="275B40B1">
      <w:pPr>
        <w:keepNext/>
        <w:keepLines/>
        <w:widowControl w:val="0"/>
        <w:spacing w:before="260" w:after="260" w:line="416" w:lineRule="auto"/>
        <w:jc w:val="both"/>
        <w:outlineLvl w:val="1"/>
        <w:rPr>
          <w:rFonts w:hint="eastAsia" w:ascii="宋体" w:hAnsi="宋体" w:eastAsia="宋体" w:cs="宋体"/>
          <w:b/>
          <w:bCs/>
          <w:kern w:val="0"/>
          <w:sz w:val="21"/>
          <w:szCs w:val="21"/>
          <w:lang w:val="en-US" w:eastAsia="zh-CN" w:bidi="ar-SA"/>
        </w:rPr>
      </w:pPr>
      <w:bookmarkStart w:id="1613" w:name="_Toc16727"/>
      <w:bookmarkStart w:id="1614" w:name="_Toc27253"/>
      <w:r>
        <w:rPr>
          <w:rFonts w:hint="eastAsia" w:ascii="宋体" w:hAnsi="宋体" w:eastAsia="宋体" w:cs="宋体"/>
          <w:b/>
          <w:bCs/>
          <w:kern w:val="0"/>
          <w:sz w:val="21"/>
          <w:szCs w:val="21"/>
          <w:lang w:val="en-US" w:eastAsia="zh-CN" w:bidi="ar-SA"/>
        </w:rPr>
        <w:t>5.合同特别条款</w:t>
      </w:r>
      <w:bookmarkEnd w:id="1613"/>
      <w:bookmarkEnd w:id="1614"/>
    </w:p>
    <w:p w14:paraId="6585B431">
      <w:pPr>
        <w:widowControl w:val="0"/>
        <w:ind w:firstLine="420" w:firstLineChars="200"/>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无</w:t>
      </w:r>
    </w:p>
    <w:p w14:paraId="77B96DC0">
      <w:pPr>
        <w:pageBreakBefore w:val="0"/>
        <w:widowControl w:val="0"/>
        <w:kinsoku/>
        <w:wordWrap/>
        <w:overflowPunct/>
        <w:topLinePunct w:val="0"/>
        <w:autoSpaceDE/>
        <w:autoSpaceDN/>
        <w:bidi w:val="0"/>
        <w:spacing w:line="360" w:lineRule="auto"/>
        <w:ind w:firstLine="420" w:firstLineChars="200"/>
        <w:jc w:val="both"/>
        <w:rPr>
          <w:rFonts w:hint="eastAsia" w:ascii="宋体" w:hAnsi="宋体" w:eastAsia="宋体" w:cs="宋体"/>
          <w:kern w:val="2"/>
          <w:sz w:val="21"/>
          <w:szCs w:val="21"/>
          <w:lang w:val="en-US" w:eastAsia="zh-CN" w:bidi="ar-SA"/>
        </w:rPr>
      </w:pPr>
    </w:p>
    <w:p w14:paraId="3658420A">
      <w:pPr>
        <w:widowControl w:val="0"/>
        <w:spacing w:line="360" w:lineRule="auto"/>
        <w:ind w:firstLine="560" w:firstLineChars="200"/>
        <w:jc w:val="both"/>
        <w:rPr>
          <w:rFonts w:ascii="宋体" w:hAnsi="宋体" w:eastAsia="宋体" w:cs="宋体"/>
          <w:kern w:val="2"/>
          <w:sz w:val="28"/>
          <w:szCs w:val="28"/>
          <w:lang w:val="en-US" w:eastAsia="zh-CN" w:bidi="ar-SA"/>
        </w:rPr>
      </w:pPr>
    </w:p>
    <w:p w14:paraId="3F7025B2">
      <w:pPr>
        <w:spacing w:line="360" w:lineRule="auto"/>
        <w:ind w:firstLine="0" w:firstLineChars="0"/>
        <w:rPr>
          <w:rFonts w:ascii="Times New Roman" w:hAnsi="Times New Roman" w:eastAsia="宋体" w:cs="Times New Roman"/>
          <w:sz w:val="24"/>
        </w:rPr>
      </w:pPr>
    </w:p>
    <w:p w14:paraId="0F05935F">
      <w:pPr>
        <w:widowControl w:val="0"/>
        <w:spacing w:line="360" w:lineRule="auto"/>
        <w:ind w:firstLine="480" w:firstLineChars="200"/>
        <w:jc w:val="both"/>
        <w:rPr>
          <w:rFonts w:ascii="Times New Roman" w:hAnsi="Times New Roman" w:eastAsia="宋体" w:cs="Times New Roman"/>
          <w:kern w:val="2"/>
          <w:sz w:val="24"/>
          <w:szCs w:val="24"/>
          <w:lang w:val="en-US" w:eastAsia="zh-CN" w:bidi="ar-SA"/>
        </w:rPr>
      </w:pPr>
    </w:p>
    <w:p w14:paraId="79743F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bCs/>
        </w:rPr>
      </w:pPr>
      <w:r>
        <w:rPr>
          <w:rFonts w:hint="eastAsia" w:asciiTheme="minorEastAsia" w:hAnsiTheme="minorEastAsia" w:eastAsiaTheme="minorEastAsia"/>
          <w:bCs/>
        </w:rPr>
        <w:br w:type="page"/>
      </w:r>
    </w:p>
    <w:p w14:paraId="1C25C268">
      <w:pPr>
        <w:pStyle w:val="21"/>
        <w:tabs>
          <w:tab w:val="left" w:pos="630"/>
        </w:tabs>
        <w:snapToGrid w:val="0"/>
        <w:spacing w:line="440" w:lineRule="exact"/>
        <w:ind w:firstLine="424" w:firstLineChars="202"/>
        <w:rPr>
          <w:rFonts w:hint="eastAsia" w:asciiTheme="minorEastAsia" w:hAnsiTheme="minorEastAsia" w:eastAsiaTheme="minorEastAsia"/>
          <w:bCs/>
        </w:rPr>
      </w:pPr>
    </w:p>
    <w:bookmarkEnd w:id="1526"/>
    <w:p w14:paraId="7BA4E529">
      <w:pPr>
        <w:pStyle w:val="21"/>
        <w:tabs>
          <w:tab w:val="left" w:pos="630"/>
        </w:tabs>
        <w:snapToGrid w:val="0"/>
        <w:spacing w:line="440" w:lineRule="exact"/>
        <w:ind w:firstLine="424" w:firstLineChars="202"/>
        <w:rPr>
          <w:rFonts w:hint="eastAsia" w:asciiTheme="minorEastAsia" w:hAnsiTheme="minorEastAsia" w:eastAsiaTheme="minorEastAsia"/>
          <w:bCs/>
        </w:rPr>
      </w:pPr>
    </w:p>
    <w:bookmarkEnd w:id="1527"/>
    <w:bookmarkEnd w:id="1528"/>
    <w:bookmarkEnd w:id="1529"/>
    <w:p w14:paraId="64180427">
      <w:pPr>
        <w:pStyle w:val="47"/>
        <w:snapToGrid w:val="0"/>
        <w:spacing w:before="120" w:after="120"/>
        <w:rPr>
          <w:rFonts w:hint="eastAsia" w:cs="宋体" w:asciiTheme="minorEastAsia" w:hAnsiTheme="minorEastAsia" w:eastAsiaTheme="minorEastAsia"/>
          <w:b/>
          <w:bCs w:val="0"/>
          <w:kern w:val="0"/>
          <w:sz w:val="28"/>
          <w:szCs w:val="28"/>
        </w:rPr>
      </w:pPr>
      <w:bookmarkStart w:id="1615" w:name="_Toc6216"/>
      <w:bookmarkStart w:id="1616" w:name="_Toc1927"/>
      <w:bookmarkStart w:id="1617" w:name="_Toc2324"/>
      <w:bookmarkStart w:id="1618" w:name="_Toc2629"/>
      <w:bookmarkStart w:id="1619" w:name="_Toc10578"/>
      <w:bookmarkStart w:id="1620" w:name="_Toc764"/>
      <w:bookmarkStart w:id="1621" w:name="_Toc19620"/>
      <w:bookmarkStart w:id="1622" w:name="_Toc19694"/>
      <w:bookmarkStart w:id="1623" w:name="_Toc13530"/>
      <w:bookmarkStart w:id="1624" w:name="_Toc24869"/>
      <w:bookmarkStart w:id="1625" w:name="_Toc17700"/>
      <w:bookmarkStart w:id="1626" w:name="_Toc9085"/>
      <w:r>
        <w:rPr>
          <w:rFonts w:hint="eastAsia" w:cs="宋体" w:asciiTheme="minorEastAsia" w:hAnsiTheme="minorEastAsia" w:eastAsiaTheme="minorEastAsia"/>
          <w:b/>
          <w:bCs w:val="0"/>
          <w:kern w:val="0"/>
          <w:sz w:val="28"/>
          <w:szCs w:val="28"/>
        </w:rPr>
        <w:t>第六章  响应文件格式</w:t>
      </w:r>
      <w:bookmarkEnd w:id="1615"/>
      <w:bookmarkEnd w:id="1616"/>
      <w:bookmarkEnd w:id="1617"/>
      <w:bookmarkEnd w:id="1618"/>
      <w:bookmarkEnd w:id="1619"/>
      <w:bookmarkEnd w:id="1620"/>
      <w:bookmarkEnd w:id="1621"/>
      <w:bookmarkEnd w:id="1622"/>
      <w:bookmarkEnd w:id="1623"/>
      <w:bookmarkEnd w:id="1624"/>
      <w:bookmarkEnd w:id="1625"/>
      <w:bookmarkEnd w:id="1626"/>
    </w:p>
    <w:p w14:paraId="6DBC3E64">
      <w:pPr>
        <w:pStyle w:val="48"/>
        <w:tabs>
          <w:tab w:val="left" w:pos="567"/>
          <w:tab w:val="left" w:pos="795"/>
        </w:tabs>
        <w:adjustRightInd w:val="0"/>
        <w:snapToGrid w:val="0"/>
        <w:spacing w:line="440" w:lineRule="exact"/>
        <w:ind w:firstLine="0" w:firstLineChars="0"/>
        <w:jc w:val="left"/>
        <w:rPr>
          <w:rFonts w:hint="eastAsia" w:asciiTheme="minorEastAsia" w:hAnsiTheme="minorEastAsia" w:eastAsiaTheme="minorEastAsia"/>
          <w:b/>
          <w:szCs w:val="21"/>
          <w:highlight w:val="none"/>
          <w:lang w:eastAsia="zh-CN"/>
        </w:rPr>
      </w:pPr>
      <w:r>
        <w:rPr>
          <w:rFonts w:hint="eastAsia" w:asciiTheme="minorEastAsia" w:hAnsiTheme="minorEastAsia" w:eastAsiaTheme="minorEastAsia"/>
          <w:b/>
          <w:szCs w:val="21"/>
          <w:highlight w:val="none"/>
        </w:rPr>
        <w:t>第一分册 商务</w:t>
      </w:r>
      <w:r>
        <w:rPr>
          <w:rFonts w:hint="eastAsia" w:asciiTheme="minorEastAsia" w:hAnsiTheme="minorEastAsia" w:eastAsiaTheme="minorEastAsia"/>
          <w:b/>
          <w:szCs w:val="21"/>
          <w:highlight w:val="none"/>
          <w:lang w:eastAsia="zh-CN"/>
        </w:rPr>
        <w:t>响应文件</w:t>
      </w:r>
    </w:p>
    <w:p w14:paraId="0847C7EA">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w:t>
      </w:r>
      <w:r>
        <w:rPr>
          <w:rFonts w:hint="eastAsia" w:cs="宋体" w:asciiTheme="minorEastAsia" w:hAnsiTheme="minorEastAsia" w:eastAsiaTheme="minorEastAsia"/>
          <w:b w:val="0"/>
          <w:bCs/>
          <w:szCs w:val="21"/>
          <w:highlight w:val="none"/>
          <w:lang w:eastAsia="zh-CN"/>
        </w:rPr>
        <w:t>响应文件</w:t>
      </w:r>
      <w:r>
        <w:rPr>
          <w:rFonts w:hint="eastAsia" w:cs="宋体" w:asciiTheme="minorEastAsia" w:hAnsiTheme="minorEastAsia" w:eastAsiaTheme="minorEastAsia"/>
          <w:b w:val="0"/>
          <w:bCs/>
          <w:szCs w:val="21"/>
          <w:highlight w:val="none"/>
        </w:rPr>
        <w:t>封面</w:t>
      </w:r>
    </w:p>
    <w:p w14:paraId="22FFD8CA">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初步评审索引表</w:t>
      </w:r>
    </w:p>
    <w:p w14:paraId="69C2A4EF">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商务评审索引表</w:t>
      </w:r>
    </w:p>
    <w:p w14:paraId="7935BC59">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专用印章授权函（如有）</w:t>
      </w:r>
    </w:p>
    <w:p w14:paraId="04A97551">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函</w:t>
      </w:r>
    </w:p>
    <w:p w14:paraId="2525035E">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法定代表人/负责人身份证明</w:t>
      </w:r>
    </w:p>
    <w:p w14:paraId="64258930">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法定代表人/负责人授权委托书</w:t>
      </w:r>
    </w:p>
    <w:p w14:paraId="334CF66F">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廉洁</w:t>
      </w: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承诺书</w:t>
      </w:r>
    </w:p>
    <w:p w14:paraId="20771A6A">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特定关系信息收集表</w:t>
      </w:r>
    </w:p>
    <w:p w14:paraId="7B8BCF58">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近【五】年发生的诉讼及仲裁情况</w:t>
      </w:r>
    </w:p>
    <w:p w14:paraId="2C91A9A1">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资格审查资料</w:t>
      </w:r>
    </w:p>
    <w:p w14:paraId="2DD65201">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采购代理服务费支付承诺函</w:t>
      </w:r>
    </w:p>
    <w:p w14:paraId="3718D88E">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供应商</w:t>
      </w:r>
      <w:r>
        <w:rPr>
          <w:rFonts w:hint="eastAsia" w:cs="宋体" w:asciiTheme="minorEastAsia" w:hAnsiTheme="minorEastAsia" w:eastAsiaTheme="minorEastAsia"/>
          <w:b w:val="0"/>
          <w:bCs/>
          <w:szCs w:val="21"/>
          <w:highlight w:val="none"/>
        </w:rPr>
        <w:t>控股及管理关系情况申报表</w:t>
      </w:r>
    </w:p>
    <w:p w14:paraId="56884B63">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响应人须知前附表偏离表</w:t>
      </w:r>
    </w:p>
    <w:p w14:paraId="74ADA6E9">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商务条款偏离表</w:t>
      </w:r>
    </w:p>
    <w:p w14:paraId="7C1A5510">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合同条款偏离表</w:t>
      </w:r>
    </w:p>
    <w:p w14:paraId="185F5886">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网络</w:t>
      </w:r>
      <w:r>
        <w:rPr>
          <w:rFonts w:hint="eastAsia" w:cs="宋体" w:asciiTheme="minorEastAsia" w:hAnsiTheme="minorEastAsia" w:eastAsiaTheme="minorEastAsia"/>
          <w:b w:val="0"/>
          <w:bCs/>
          <w:szCs w:val="21"/>
          <w:highlight w:val="none"/>
          <w:lang w:val="en-US" w:eastAsia="zh-CN"/>
        </w:rPr>
        <w:t>及</w:t>
      </w:r>
      <w:r>
        <w:rPr>
          <w:rFonts w:hint="eastAsia" w:cs="宋体" w:asciiTheme="minorEastAsia" w:hAnsiTheme="minorEastAsia" w:eastAsiaTheme="minorEastAsia"/>
          <w:b w:val="0"/>
          <w:bCs/>
          <w:szCs w:val="21"/>
          <w:highlight w:val="none"/>
        </w:rPr>
        <w:t>信息安全承诺书</w:t>
      </w:r>
    </w:p>
    <w:p w14:paraId="62DF02C5">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开源软件、第三方软件清单及合法获取开源软件、第三方软件使用权的证明</w:t>
      </w:r>
    </w:p>
    <w:p w14:paraId="779AC0D0">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eastAsia="zh-CN"/>
        </w:rPr>
        <w:t>响应</w:t>
      </w:r>
      <w:r>
        <w:rPr>
          <w:rFonts w:hint="eastAsia" w:cs="宋体" w:asciiTheme="minorEastAsia" w:hAnsiTheme="minorEastAsia" w:eastAsiaTheme="minorEastAsia"/>
          <w:b w:val="0"/>
          <w:bCs/>
          <w:szCs w:val="21"/>
          <w:highlight w:val="none"/>
        </w:rPr>
        <w:t>保函</w:t>
      </w:r>
    </w:p>
    <w:p w14:paraId="0A7F521A">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业绩情况表</w:t>
      </w:r>
    </w:p>
    <w:p w14:paraId="7B3DDEE0">
      <w:pPr>
        <w:pStyle w:val="48"/>
        <w:numPr>
          <w:ilvl w:val="0"/>
          <w:numId w:val="11"/>
        </w:numPr>
        <w:tabs>
          <w:tab w:val="left" w:pos="567"/>
        </w:tabs>
        <w:adjustRightInd w:val="0"/>
        <w:snapToGrid w:val="0"/>
        <w:spacing w:line="440" w:lineRule="exact"/>
        <w:ind w:firstLineChars="0"/>
        <w:rPr>
          <w:rFonts w:hint="eastAsia" w:cs="宋体" w:asciiTheme="minorEastAsia" w:hAnsiTheme="minorEastAsia" w:eastAsiaTheme="minorEastAsia"/>
          <w:b/>
          <w:szCs w:val="21"/>
          <w:highlight w:val="none"/>
        </w:rPr>
      </w:pPr>
      <w:r>
        <w:rPr>
          <w:rFonts w:hint="eastAsia" w:cs="宋体" w:asciiTheme="minorEastAsia" w:hAnsiTheme="minorEastAsia" w:eastAsiaTheme="minorEastAsia"/>
          <w:b w:val="0"/>
          <w:bCs/>
          <w:szCs w:val="21"/>
          <w:highlight w:val="none"/>
          <w:lang w:val="en-US" w:eastAsia="zh-CN"/>
        </w:rPr>
        <w:t>知识产权不侵权承诺函</w:t>
      </w:r>
    </w:p>
    <w:p w14:paraId="21082964">
      <w:pPr>
        <w:pStyle w:val="48"/>
        <w:numPr>
          <w:ilvl w:val="0"/>
          <w:numId w:val="11"/>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销售/转许可同意函</w:t>
      </w:r>
    </w:p>
    <w:p w14:paraId="21B75299">
      <w:pPr>
        <w:pStyle w:val="48"/>
        <w:numPr>
          <w:ilvl w:val="0"/>
          <w:numId w:val="11"/>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不得存在情形承诺</w:t>
      </w:r>
    </w:p>
    <w:p w14:paraId="40EAE423">
      <w:pPr>
        <w:pStyle w:val="48"/>
        <w:numPr>
          <w:ilvl w:val="0"/>
          <w:numId w:val="11"/>
        </w:numPr>
        <w:tabs>
          <w:tab w:val="left" w:pos="567"/>
        </w:tabs>
        <w:adjustRightInd w:val="0"/>
        <w:snapToGrid w:val="0"/>
        <w:spacing w:line="440" w:lineRule="exact"/>
        <w:ind w:firstLineChars="0"/>
        <w:rPr>
          <w:rFonts w:hint="eastAsia" w:cs="宋体" w:asciiTheme="minorEastAsia" w:hAnsiTheme="minorEastAsia" w:eastAsiaTheme="minorEastAsia"/>
          <w:b w:val="0"/>
          <w:bCs/>
          <w:szCs w:val="21"/>
          <w:highlight w:val="none"/>
          <w:lang w:val="en-US" w:eastAsia="zh-CN"/>
        </w:rPr>
      </w:pPr>
      <w:r>
        <w:rPr>
          <w:rFonts w:hint="eastAsia" w:cs="宋体" w:asciiTheme="minorEastAsia" w:hAnsiTheme="minorEastAsia" w:eastAsiaTheme="minorEastAsia"/>
          <w:b w:val="0"/>
          <w:bCs/>
          <w:szCs w:val="21"/>
          <w:highlight w:val="none"/>
          <w:lang w:val="en-US" w:eastAsia="zh-CN"/>
        </w:rPr>
        <w:t>开具增值税专用发票承诺</w:t>
      </w:r>
    </w:p>
    <w:p w14:paraId="72D0AF93">
      <w:pPr>
        <w:pStyle w:val="48"/>
        <w:tabs>
          <w:tab w:val="left" w:pos="567"/>
          <w:tab w:val="left" w:pos="795"/>
        </w:tabs>
        <w:adjustRightInd w:val="0"/>
        <w:snapToGrid w:val="0"/>
        <w:spacing w:line="440" w:lineRule="exact"/>
        <w:ind w:firstLine="0" w:firstLineChars="0"/>
        <w:jc w:val="left"/>
        <w:rPr>
          <w:rFonts w:hint="eastAsia" w:cs="宋体" w:asciiTheme="minorEastAsia" w:hAnsiTheme="minorEastAsia" w:eastAsiaTheme="minorEastAsia"/>
          <w:b/>
          <w:szCs w:val="21"/>
          <w:highlight w:val="none"/>
          <w:lang w:eastAsia="zh-CN"/>
        </w:rPr>
      </w:pPr>
      <w:r>
        <w:rPr>
          <w:rFonts w:hint="eastAsia" w:cs="宋体" w:asciiTheme="minorEastAsia" w:hAnsiTheme="minorEastAsia" w:eastAsiaTheme="minorEastAsia"/>
          <w:b/>
          <w:szCs w:val="21"/>
          <w:highlight w:val="none"/>
        </w:rPr>
        <w:t>第二分册 技术</w:t>
      </w:r>
      <w:r>
        <w:rPr>
          <w:rFonts w:hint="eastAsia" w:cs="宋体" w:asciiTheme="minorEastAsia" w:hAnsiTheme="minorEastAsia" w:eastAsiaTheme="minorEastAsia"/>
          <w:b/>
          <w:szCs w:val="21"/>
          <w:highlight w:val="none"/>
          <w:lang w:eastAsia="zh-CN"/>
        </w:rPr>
        <w:t>响应文件</w:t>
      </w:r>
    </w:p>
    <w:p w14:paraId="3206B04F">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技术</w:t>
      </w:r>
      <w:r>
        <w:rPr>
          <w:rFonts w:hint="eastAsia" w:cs="宋体" w:asciiTheme="minorEastAsia" w:hAnsiTheme="minorEastAsia" w:eastAsiaTheme="minorEastAsia"/>
          <w:b w:val="0"/>
          <w:bCs/>
          <w:szCs w:val="21"/>
          <w:highlight w:val="none"/>
          <w:lang w:eastAsia="zh-CN"/>
        </w:rPr>
        <w:t>响应文件</w:t>
      </w:r>
      <w:r>
        <w:rPr>
          <w:rFonts w:hint="eastAsia" w:cs="宋体" w:asciiTheme="minorEastAsia" w:hAnsiTheme="minorEastAsia" w:eastAsiaTheme="minorEastAsia"/>
          <w:b w:val="0"/>
          <w:bCs/>
          <w:szCs w:val="21"/>
          <w:highlight w:val="none"/>
        </w:rPr>
        <w:t>封面</w:t>
      </w:r>
    </w:p>
    <w:p w14:paraId="4C1A1C86">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技术服务评审索引表</w:t>
      </w:r>
    </w:p>
    <w:p w14:paraId="01305193">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cs="宋体" w:asciiTheme="minorEastAsia" w:hAnsiTheme="minorEastAsia" w:eastAsiaTheme="minorEastAsia"/>
          <w:b w:val="0"/>
          <w:bCs/>
          <w:szCs w:val="21"/>
          <w:highlight w:val="none"/>
        </w:rPr>
        <w:t>技术规范书</w:t>
      </w:r>
      <w:r>
        <w:rPr>
          <w:rFonts w:hint="eastAsia" w:cs="宋体" w:asciiTheme="minorEastAsia" w:hAnsiTheme="minorEastAsia" w:eastAsiaTheme="minorEastAsia"/>
          <w:b w:val="0"/>
          <w:bCs/>
          <w:szCs w:val="21"/>
          <w:highlight w:val="none"/>
        </w:rPr>
        <w:t>点对点</w:t>
      </w:r>
      <w:r>
        <w:rPr>
          <w:rFonts w:hint="eastAsia" w:cs="宋体" w:asciiTheme="minorEastAsia" w:hAnsiTheme="minorEastAsia" w:eastAsiaTheme="minorEastAsia"/>
          <w:b w:val="0"/>
          <w:bCs/>
          <w:szCs w:val="21"/>
          <w:highlight w:val="none"/>
          <w:lang w:val="en-US" w:eastAsia="zh-CN"/>
        </w:rPr>
        <w:t>响应</w:t>
      </w:r>
    </w:p>
    <w:p w14:paraId="3A40D946">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技术规范书偏离表</w:t>
      </w:r>
    </w:p>
    <w:p w14:paraId="47D6AD44">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项目建议书</w:t>
      </w:r>
    </w:p>
    <w:p w14:paraId="78224B2E">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要求</w:t>
      </w:r>
      <w:r>
        <w:rPr>
          <w:rFonts w:hint="eastAsia" w:cs="宋体" w:asciiTheme="minorEastAsia" w:hAnsiTheme="minorEastAsia" w:eastAsiaTheme="minorEastAsia"/>
          <w:b w:val="0"/>
          <w:bCs/>
          <w:szCs w:val="21"/>
          <w:highlight w:val="none"/>
          <w:lang w:eastAsia="zh-CN"/>
        </w:rPr>
        <w:t>供应商</w:t>
      </w:r>
      <w:r>
        <w:rPr>
          <w:rFonts w:hint="eastAsia" w:cs="宋体" w:asciiTheme="minorEastAsia" w:hAnsiTheme="minorEastAsia" w:eastAsiaTheme="minorEastAsia"/>
          <w:b w:val="0"/>
          <w:bCs/>
          <w:szCs w:val="21"/>
          <w:highlight w:val="none"/>
        </w:rPr>
        <w:t>提供的其他文件</w:t>
      </w:r>
    </w:p>
    <w:p w14:paraId="5B42C80C">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外部组件软件成分信息清单模版</w:t>
      </w:r>
    </w:p>
    <w:p w14:paraId="5D019E5F">
      <w:pPr>
        <w:pStyle w:val="48"/>
        <w:tabs>
          <w:tab w:val="left" w:pos="567"/>
          <w:tab w:val="left" w:pos="795"/>
        </w:tabs>
        <w:adjustRightInd w:val="0"/>
        <w:snapToGrid w:val="0"/>
        <w:spacing w:line="440" w:lineRule="exact"/>
        <w:ind w:firstLine="0" w:firstLineChars="0"/>
        <w:jc w:val="left"/>
        <w:rPr>
          <w:rFonts w:cs="宋体" w:asciiTheme="minorEastAsia" w:hAnsiTheme="minorEastAsia" w:eastAsiaTheme="minorEastAsia"/>
          <w:b/>
          <w:szCs w:val="21"/>
          <w:highlight w:val="none"/>
        </w:rPr>
      </w:pPr>
      <w:r>
        <w:rPr>
          <w:rFonts w:hint="eastAsia" w:cs="宋体" w:asciiTheme="minorEastAsia" w:hAnsiTheme="minorEastAsia" w:eastAsiaTheme="minorEastAsia"/>
          <w:b/>
          <w:szCs w:val="21"/>
          <w:highlight w:val="none"/>
        </w:rPr>
        <w:t>第三分册 报价文件</w:t>
      </w:r>
    </w:p>
    <w:p w14:paraId="237E19F8">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rPr>
        <w:t>报价文件封面</w:t>
      </w:r>
    </w:p>
    <w:p w14:paraId="5811A40F">
      <w:pPr>
        <w:pStyle w:val="48"/>
        <w:numPr>
          <w:ilvl w:val="0"/>
          <w:numId w:val="11"/>
        </w:numPr>
        <w:tabs>
          <w:tab w:val="left" w:pos="567"/>
        </w:tabs>
        <w:adjustRightInd w:val="0"/>
        <w:snapToGrid w:val="0"/>
        <w:spacing w:line="440" w:lineRule="exact"/>
        <w:ind w:firstLineChars="0"/>
        <w:rPr>
          <w:rFonts w:cs="宋体" w:asciiTheme="minorEastAsia" w:hAnsiTheme="minorEastAsia" w:eastAsiaTheme="minorEastAsia"/>
          <w:b w:val="0"/>
          <w:bCs/>
          <w:szCs w:val="21"/>
          <w:highlight w:val="none"/>
        </w:rPr>
      </w:pPr>
      <w:r>
        <w:rPr>
          <w:rFonts w:hint="eastAsia" w:cs="宋体" w:asciiTheme="minorEastAsia" w:hAnsiTheme="minorEastAsia" w:eastAsiaTheme="minorEastAsia"/>
          <w:b w:val="0"/>
          <w:bCs/>
          <w:szCs w:val="21"/>
          <w:highlight w:val="none"/>
          <w:lang w:val="en-US" w:eastAsia="zh-CN"/>
        </w:rPr>
        <w:t>响应</w:t>
      </w:r>
      <w:r>
        <w:rPr>
          <w:rFonts w:hint="eastAsia" w:cs="宋体" w:asciiTheme="minorEastAsia" w:hAnsiTheme="minorEastAsia" w:eastAsiaTheme="minorEastAsia"/>
          <w:b w:val="0"/>
          <w:bCs/>
          <w:szCs w:val="21"/>
          <w:highlight w:val="none"/>
        </w:rPr>
        <w:t>一览表</w:t>
      </w:r>
    </w:p>
    <w:p w14:paraId="48A77391">
      <w:pPr>
        <w:pStyle w:val="48"/>
        <w:widowControl/>
        <w:spacing w:before="156" w:beforeLines="50" w:after="156" w:afterLines="50" w:line="360" w:lineRule="auto"/>
        <w:ind w:left="720" w:firstLine="0" w:firstLineChars="0"/>
        <w:jc w:val="left"/>
        <w:rPr>
          <w:rFonts w:hint="eastAsia" w:ascii="宋体" w:hAnsi="宋体" w:cs="宋体"/>
          <w:b/>
          <w:szCs w:val="21"/>
        </w:rPr>
      </w:pPr>
    </w:p>
    <w:p w14:paraId="28BB52AE">
      <w:pPr>
        <w:widowControl/>
        <w:jc w:val="left"/>
        <w:rPr>
          <w:rFonts w:hint="eastAsia" w:ascii="宋体" w:hAnsi="宋体" w:cs="宋体"/>
          <w:b/>
          <w:sz w:val="24"/>
        </w:rPr>
      </w:pPr>
      <w:r>
        <w:rPr>
          <w:rFonts w:ascii="宋体" w:hAnsi="宋体" w:cs="宋体"/>
          <w:b/>
          <w:sz w:val="24"/>
        </w:rPr>
        <w:br w:type="page"/>
      </w:r>
    </w:p>
    <w:p w14:paraId="4784959C">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asciiTheme="minorEastAsia" w:hAnsiTheme="minorEastAsia" w:eastAsiaTheme="minorEastAsia"/>
          <w:sz w:val="24"/>
          <w:szCs w:val="24"/>
          <w:highlight w:val="none"/>
        </w:rPr>
      </w:pPr>
      <w:bookmarkStart w:id="1627" w:name="_Toc476252146"/>
      <w:bookmarkEnd w:id="1627"/>
      <w:bookmarkStart w:id="1628" w:name="_Toc20173"/>
      <w:bookmarkStart w:id="1629" w:name="_Toc32363"/>
      <w:bookmarkStart w:id="1630" w:name="_Toc2660"/>
      <w:bookmarkStart w:id="1631" w:name="_Toc17514"/>
      <w:bookmarkStart w:id="1632" w:name="_Toc27055"/>
      <w:bookmarkStart w:id="1633" w:name="_Toc19470"/>
      <w:bookmarkStart w:id="1634" w:name="_Toc475472670"/>
      <w:bookmarkStart w:id="1635" w:name="_Toc3593"/>
      <w:bookmarkStart w:id="1636" w:name="_Toc6899"/>
      <w:bookmarkStart w:id="1637" w:name="_Toc4772"/>
      <w:bookmarkStart w:id="1638" w:name="_Toc1679"/>
      <w:bookmarkStart w:id="1639" w:name="_Toc23919"/>
      <w:bookmarkStart w:id="1640" w:name="_Toc5801"/>
      <w:bookmarkStart w:id="1641" w:name="_Toc4310"/>
      <w:r>
        <w:rPr>
          <w:rFonts w:hint="eastAsia" w:cs="Times New Roman" w:asciiTheme="minorEastAsia" w:hAnsiTheme="minorEastAsia" w:eastAsiaTheme="minorEastAsia"/>
          <w:b/>
          <w:bCs/>
          <w:kern w:val="2"/>
          <w:sz w:val="24"/>
          <w:szCs w:val="24"/>
          <w:lang w:val="en-US" w:eastAsia="zh-CN" w:bidi="ar-SA"/>
        </w:rPr>
        <w:t>1.</w:t>
      </w:r>
      <w:r>
        <w:rPr>
          <w:rFonts w:hint="eastAsia" w:asciiTheme="minorEastAsia" w:hAnsiTheme="minorEastAsia" w:eastAsiaTheme="minorEastAsia"/>
          <w:sz w:val="24"/>
          <w:szCs w:val="24"/>
          <w:highlight w:val="none"/>
        </w:rPr>
        <w:t>商务</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封面</w:t>
      </w:r>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p>
    <w:p w14:paraId="68A707F8">
      <w:pPr>
        <w:spacing w:after="120" w:line="360" w:lineRule="atLeast"/>
        <w:jc w:val="center"/>
        <w:rPr>
          <w:rFonts w:cs="宋体" w:asciiTheme="minorEastAsia" w:hAnsiTheme="minorEastAsia" w:eastAsiaTheme="minorEastAsia"/>
          <w:sz w:val="32"/>
          <w:szCs w:val="32"/>
          <w:highlight w:val="none"/>
          <w:u w:val="single"/>
        </w:rPr>
      </w:pPr>
    </w:p>
    <w:p w14:paraId="09425313">
      <w:pPr>
        <w:spacing w:after="120" w:line="360" w:lineRule="atLeast"/>
        <w:jc w:val="center"/>
        <w:rPr>
          <w:rFonts w:cs="宋体" w:asciiTheme="minorEastAsia" w:hAnsiTheme="minorEastAsia" w:eastAsiaTheme="minorEastAsia"/>
          <w:sz w:val="32"/>
          <w:szCs w:val="32"/>
          <w:highlight w:val="none"/>
          <w:u w:val="single"/>
        </w:rPr>
      </w:pPr>
    </w:p>
    <w:p w14:paraId="58B94EEF">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042409F9">
      <w:pPr>
        <w:jc w:val="center"/>
        <w:rPr>
          <w:rFonts w:cs="宋体" w:asciiTheme="minorEastAsia" w:hAnsiTheme="minorEastAsia" w:eastAsiaTheme="minorEastAsia"/>
          <w:sz w:val="28"/>
          <w:szCs w:val="28"/>
          <w:highlight w:val="none"/>
        </w:rPr>
      </w:pPr>
    </w:p>
    <w:p w14:paraId="5191CC1D">
      <w:pPr>
        <w:jc w:val="center"/>
        <w:rPr>
          <w:rFonts w:cs="宋体" w:asciiTheme="minorEastAsia" w:hAnsiTheme="minorEastAsia" w:eastAsiaTheme="minorEastAsia"/>
          <w:szCs w:val="21"/>
          <w:highlight w:val="none"/>
        </w:rPr>
      </w:pPr>
    </w:p>
    <w:p w14:paraId="34122E9F">
      <w:pPr>
        <w:jc w:val="center"/>
        <w:rPr>
          <w:rFonts w:cs="宋体" w:asciiTheme="minorEastAsia" w:hAnsiTheme="minorEastAsia" w:eastAsiaTheme="minorEastAsia"/>
          <w:szCs w:val="21"/>
          <w:highlight w:val="none"/>
        </w:rPr>
      </w:pPr>
    </w:p>
    <w:p w14:paraId="1B5416FF">
      <w:pPr>
        <w:jc w:val="center"/>
        <w:rPr>
          <w:rFonts w:cs="宋体" w:asciiTheme="minorEastAsia" w:hAnsiTheme="minorEastAsia" w:eastAsiaTheme="minorEastAsia"/>
          <w:szCs w:val="21"/>
          <w:highlight w:val="none"/>
        </w:rPr>
      </w:pPr>
    </w:p>
    <w:p w14:paraId="10795DDF">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【商务</w:t>
      </w: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】部分</w:t>
      </w:r>
    </w:p>
    <w:p w14:paraId="5C0E3122">
      <w:pPr>
        <w:spacing w:after="120"/>
        <w:jc w:val="center"/>
        <w:rPr>
          <w:rFonts w:cs="宋体" w:asciiTheme="minorEastAsia" w:hAnsiTheme="minorEastAsia" w:eastAsiaTheme="minorEastAsia"/>
          <w:b/>
          <w:sz w:val="32"/>
          <w:szCs w:val="32"/>
          <w:highlight w:val="none"/>
        </w:rPr>
      </w:pPr>
    </w:p>
    <w:p w14:paraId="09CC75A9">
      <w:pPr>
        <w:spacing w:after="120"/>
        <w:jc w:val="center"/>
        <w:rPr>
          <w:rFonts w:cs="宋体" w:asciiTheme="minorEastAsia" w:hAnsiTheme="minorEastAsia" w:eastAsiaTheme="minorEastAsia"/>
          <w:b/>
          <w:sz w:val="32"/>
          <w:szCs w:val="32"/>
          <w:highlight w:val="none"/>
        </w:rPr>
      </w:pPr>
    </w:p>
    <w:p w14:paraId="11A1433C">
      <w:pPr>
        <w:spacing w:after="120"/>
        <w:jc w:val="center"/>
        <w:rPr>
          <w:rFonts w:cs="宋体" w:asciiTheme="minorEastAsia" w:hAnsiTheme="minorEastAsia" w:eastAsiaTheme="minorEastAsia"/>
          <w:b/>
          <w:sz w:val="32"/>
          <w:szCs w:val="32"/>
          <w:highlight w:val="none"/>
        </w:rPr>
      </w:pPr>
    </w:p>
    <w:p w14:paraId="6D70CABA">
      <w:pPr>
        <w:spacing w:after="120"/>
        <w:jc w:val="center"/>
        <w:rPr>
          <w:rFonts w:cs="宋体" w:asciiTheme="minorEastAsia" w:hAnsiTheme="minorEastAsia" w:eastAsiaTheme="minorEastAsia"/>
          <w:b/>
          <w:sz w:val="32"/>
          <w:szCs w:val="32"/>
          <w:highlight w:val="none"/>
        </w:rPr>
      </w:pPr>
    </w:p>
    <w:p w14:paraId="27A70082">
      <w:pPr>
        <w:spacing w:after="120"/>
        <w:jc w:val="center"/>
        <w:rPr>
          <w:rFonts w:cs="宋体" w:asciiTheme="minorEastAsia" w:hAnsiTheme="minorEastAsia" w:eastAsiaTheme="minorEastAsia"/>
          <w:b/>
          <w:sz w:val="32"/>
          <w:szCs w:val="32"/>
          <w:highlight w:val="none"/>
        </w:rPr>
      </w:pPr>
    </w:p>
    <w:p w14:paraId="5682DD32">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14C14BF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616A0D27">
      <w:pPr>
        <w:adjustRightInd w:val="0"/>
        <w:snapToGrid w:val="0"/>
        <w:spacing w:line="440" w:lineRule="exact"/>
        <w:jc w:val="center"/>
        <w:rPr>
          <w:rFonts w:cs="宋体" w:asciiTheme="minorEastAsia" w:hAnsiTheme="minorEastAsia" w:eastAsiaTheme="minorEastAsia"/>
          <w:sz w:val="24"/>
          <w:highlight w:val="none"/>
        </w:rPr>
      </w:pPr>
    </w:p>
    <w:p w14:paraId="247AE4C4">
      <w:pPr>
        <w:rPr>
          <w:highlight w:val="none"/>
        </w:rPr>
      </w:pPr>
    </w:p>
    <w:p w14:paraId="4D7C550D">
      <w:pPr>
        <w:rPr>
          <w:highlight w:val="none"/>
        </w:rPr>
      </w:pPr>
    </w:p>
    <w:p w14:paraId="6BF6393A">
      <w:pPr>
        <w:rPr>
          <w:highlight w:val="none"/>
        </w:rPr>
      </w:pPr>
    </w:p>
    <w:p w14:paraId="23ABA69A">
      <w:pPr>
        <w:rPr>
          <w:highlight w:val="none"/>
        </w:rPr>
      </w:pPr>
    </w:p>
    <w:p w14:paraId="65F83BBB">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64D443C5">
      <w:pPr>
        <w:pStyle w:val="47"/>
        <w:adjustRightInd w:val="0"/>
        <w:snapToGrid w:val="0"/>
        <w:spacing w:before="240" w:after="120" w:line="440" w:lineRule="exact"/>
        <w:rPr>
          <w:rFonts w:cs="宋体" w:asciiTheme="minorEastAsia" w:hAnsiTheme="minorEastAsia" w:eastAsiaTheme="minorEastAsia"/>
          <w:b/>
          <w:bCs w:val="0"/>
          <w:kern w:val="0"/>
          <w:sz w:val="28"/>
          <w:szCs w:val="28"/>
          <w:highlight w:val="none"/>
        </w:rPr>
        <w:sectPr>
          <w:pgSz w:w="11906" w:h="16838"/>
          <w:pgMar w:top="1440" w:right="1800" w:bottom="1440" w:left="1800" w:header="851" w:footer="992" w:gutter="0"/>
          <w:pgNumType w:fmt="decimal"/>
          <w:cols w:space="425" w:num="1"/>
          <w:docGrid w:type="lines" w:linePitch="312" w:charSpace="0"/>
        </w:sectPr>
      </w:pPr>
    </w:p>
    <w:p w14:paraId="466C739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42" w:name="_Toc4850"/>
      <w:bookmarkStart w:id="1643" w:name="_Toc14947"/>
      <w:bookmarkStart w:id="1644" w:name="_Toc2054"/>
      <w:bookmarkStart w:id="1645" w:name="_Toc2687"/>
      <w:bookmarkStart w:id="1646" w:name="_Toc19191"/>
      <w:bookmarkStart w:id="1647" w:name="_Toc12740"/>
      <w:bookmarkStart w:id="1648" w:name="_Toc1229"/>
      <w:bookmarkStart w:id="1649" w:name="_Toc2015"/>
      <w:bookmarkStart w:id="1650" w:name="_Toc416"/>
      <w:bookmarkStart w:id="1651" w:name="_Toc13218"/>
      <w:bookmarkStart w:id="1652" w:name="_Toc9512"/>
      <w:bookmarkStart w:id="1653" w:name="_Toc10236"/>
      <w:bookmarkStart w:id="1654" w:name="_Toc20047"/>
      <w:bookmarkStart w:id="1655" w:name="_Toc447265603"/>
      <w:bookmarkStart w:id="1656" w:name="_Toc447265317"/>
      <w:bookmarkStart w:id="1657" w:name="_Toc438052118"/>
      <w:r>
        <w:rPr>
          <w:rFonts w:hint="eastAsia" w:cs="Times New Roman" w:asciiTheme="minorEastAsia" w:hAnsiTheme="minorEastAsia" w:eastAsiaTheme="minorEastAsia"/>
          <w:b/>
          <w:bCs/>
          <w:kern w:val="2"/>
          <w:sz w:val="24"/>
          <w:szCs w:val="24"/>
          <w:lang w:val="en-US" w:eastAsia="zh-CN" w:bidi="ar-SA"/>
        </w:rPr>
        <w:t>2.</w:t>
      </w:r>
      <w:r>
        <w:rPr>
          <w:rFonts w:hint="eastAsia" w:asciiTheme="minorEastAsia" w:hAnsiTheme="minorEastAsia" w:eastAsiaTheme="minorEastAsia"/>
          <w:sz w:val="24"/>
          <w:szCs w:val="24"/>
          <w:highlight w:val="none"/>
        </w:rPr>
        <w:t>初步评审索引表</w:t>
      </w:r>
      <w:bookmarkEnd w:id="1642"/>
      <w:bookmarkEnd w:id="1643"/>
      <w:bookmarkEnd w:id="1644"/>
      <w:bookmarkEnd w:id="1645"/>
      <w:bookmarkEnd w:id="1646"/>
      <w:bookmarkEnd w:id="1647"/>
      <w:bookmarkEnd w:id="1648"/>
      <w:bookmarkEnd w:id="1649"/>
      <w:bookmarkEnd w:id="1650"/>
      <w:bookmarkEnd w:id="1651"/>
      <w:bookmarkEnd w:id="1652"/>
      <w:bookmarkEnd w:id="1653"/>
      <w:bookmarkEnd w:id="1654"/>
    </w:p>
    <w:p w14:paraId="68852D16">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初步评审索引表</w:t>
      </w:r>
    </w:p>
    <w:p w14:paraId="0D0B7F7F">
      <w:pPr>
        <w:jc w:val="center"/>
        <w:rPr>
          <w:rFonts w:asciiTheme="minorEastAsia" w:hAnsiTheme="minorEastAsia" w:eastAsiaTheme="minorEastAsia"/>
          <w:b/>
          <w:highlight w:val="none"/>
        </w:rPr>
      </w:pPr>
    </w:p>
    <w:p w14:paraId="73F474FC">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221"/>
        <w:gridCol w:w="1984"/>
        <w:gridCol w:w="1559"/>
        <w:gridCol w:w="1656"/>
      </w:tblGrid>
      <w:tr w14:paraId="121D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9918B04">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221" w:type="dxa"/>
            <w:vAlign w:val="center"/>
          </w:tcPr>
          <w:p w14:paraId="6A46891A">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1984" w:type="dxa"/>
            <w:vAlign w:val="center"/>
          </w:tcPr>
          <w:p w14:paraId="575D474C">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组成</w:t>
            </w:r>
          </w:p>
        </w:tc>
        <w:tc>
          <w:tcPr>
            <w:tcW w:w="1559" w:type="dxa"/>
            <w:vAlign w:val="center"/>
          </w:tcPr>
          <w:p w14:paraId="3EA85F67">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656" w:type="dxa"/>
            <w:vAlign w:val="center"/>
          </w:tcPr>
          <w:p w14:paraId="3D7B5B62">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5408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A09E78A">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2221" w:type="dxa"/>
            <w:vAlign w:val="center"/>
          </w:tcPr>
          <w:p w14:paraId="6560FCD3">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人名称</w:t>
            </w:r>
          </w:p>
        </w:tc>
        <w:tc>
          <w:tcPr>
            <w:tcW w:w="1984" w:type="dxa"/>
          </w:tcPr>
          <w:p w14:paraId="1AD8049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879C77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33413EE9">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35770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D45BB8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2221" w:type="dxa"/>
            <w:vAlign w:val="center"/>
          </w:tcPr>
          <w:p w14:paraId="68D4A94D">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函</w:t>
            </w:r>
          </w:p>
        </w:tc>
        <w:tc>
          <w:tcPr>
            <w:tcW w:w="1984" w:type="dxa"/>
          </w:tcPr>
          <w:p w14:paraId="50B6B71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EC9A73A">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C04D821">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93D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600223B">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2221" w:type="dxa"/>
            <w:vAlign w:val="center"/>
          </w:tcPr>
          <w:p w14:paraId="597EB2A9">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营业执照和资质证书</w:t>
            </w:r>
          </w:p>
        </w:tc>
        <w:tc>
          <w:tcPr>
            <w:tcW w:w="1984" w:type="dxa"/>
          </w:tcPr>
          <w:p w14:paraId="6195AE9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0900DFB7">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3BD5FC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31FB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94F5F1C">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w:t>
            </w:r>
          </w:p>
        </w:tc>
        <w:tc>
          <w:tcPr>
            <w:tcW w:w="2221" w:type="dxa"/>
            <w:vAlign w:val="center"/>
          </w:tcPr>
          <w:p w14:paraId="73148588">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文件签字盖章</w:t>
            </w:r>
          </w:p>
        </w:tc>
        <w:tc>
          <w:tcPr>
            <w:tcW w:w="1984" w:type="dxa"/>
          </w:tcPr>
          <w:p w14:paraId="7D04AFE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E9A83F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5BC8CA6">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16BA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2C1902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2221" w:type="dxa"/>
            <w:vAlign w:val="center"/>
          </w:tcPr>
          <w:p w14:paraId="3119CF3D">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法定代表人授权书</w:t>
            </w:r>
          </w:p>
        </w:tc>
        <w:tc>
          <w:tcPr>
            <w:tcW w:w="1984" w:type="dxa"/>
          </w:tcPr>
          <w:p w14:paraId="5E413C4C">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7482F9B">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2F952DA5">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DD7D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29847A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2221" w:type="dxa"/>
            <w:vAlign w:val="center"/>
          </w:tcPr>
          <w:p w14:paraId="2AECC46A">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文件格式</w:t>
            </w:r>
          </w:p>
        </w:tc>
        <w:tc>
          <w:tcPr>
            <w:tcW w:w="1984" w:type="dxa"/>
          </w:tcPr>
          <w:p w14:paraId="518A3B9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515347F7">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5AD62F5F">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0790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56F4D2B">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221" w:type="dxa"/>
            <w:vAlign w:val="center"/>
          </w:tcPr>
          <w:p w14:paraId="49BC6427">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保证金</w:t>
            </w:r>
          </w:p>
        </w:tc>
        <w:tc>
          <w:tcPr>
            <w:tcW w:w="1984" w:type="dxa"/>
          </w:tcPr>
          <w:p w14:paraId="3074CAB7">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34A51F29">
            <w:pPr>
              <w:tabs>
                <w:tab w:val="left" w:pos="720"/>
              </w:tabs>
              <w:spacing w:line="360" w:lineRule="auto"/>
              <w:ind w:left="420"/>
              <w:jc w:val="center"/>
              <w:rPr>
                <w:rFonts w:asciiTheme="minorEastAsia" w:hAnsiTheme="minorEastAsia" w:eastAsiaTheme="minorEastAsia"/>
                <w:szCs w:val="21"/>
                <w:highlight w:val="none"/>
              </w:rPr>
            </w:pPr>
          </w:p>
        </w:tc>
        <w:tc>
          <w:tcPr>
            <w:tcW w:w="1656" w:type="dxa"/>
            <w:vAlign w:val="center"/>
          </w:tcPr>
          <w:p w14:paraId="78086F52">
            <w:pPr>
              <w:spacing w:line="360" w:lineRule="auto"/>
              <w:ind w:left="420"/>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FE91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6D8D7BE">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w:t>
            </w:r>
          </w:p>
        </w:tc>
        <w:tc>
          <w:tcPr>
            <w:tcW w:w="2221" w:type="dxa"/>
            <w:vAlign w:val="center"/>
          </w:tcPr>
          <w:p w14:paraId="358B0742">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资格条件</w:t>
            </w:r>
          </w:p>
        </w:tc>
        <w:tc>
          <w:tcPr>
            <w:tcW w:w="1984" w:type="dxa"/>
          </w:tcPr>
          <w:p w14:paraId="2C0B730C">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323F4F5A">
            <w:pPr>
              <w:tabs>
                <w:tab w:val="left" w:pos="720"/>
              </w:tabs>
              <w:spacing w:line="360" w:lineRule="auto"/>
              <w:ind w:left="420"/>
              <w:jc w:val="center"/>
              <w:rPr>
                <w:rFonts w:asciiTheme="minorEastAsia" w:hAnsiTheme="minorEastAsia" w:eastAsiaTheme="minorEastAsia"/>
                <w:szCs w:val="21"/>
                <w:highlight w:val="none"/>
              </w:rPr>
            </w:pPr>
          </w:p>
        </w:tc>
        <w:tc>
          <w:tcPr>
            <w:tcW w:w="1656" w:type="dxa"/>
            <w:vAlign w:val="center"/>
          </w:tcPr>
          <w:p w14:paraId="5FB3DBE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2AB1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4923F1E">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w:t>
            </w:r>
          </w:p>
        </w:tc>
        <w:tc>
          <w:tcPr>
            <w:tcW w:w="2221" w:type="dxa"/>
            <w:vAlign w:val="center"/>
          </w:tcPr>
          <w:p w14:paraId="41BCCBB6">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不得存在的情形</w:t>
            </w:r>
            <w:r>
              <w:rPr>
                <w:rFonts w:hint="eastAsia" w:ascii="宋体" w:hAnsi="宋体" w:eastAsia="宋体" w:cs="宋体"/>
                <w:kern w:val="0"/>
                <w:szCs w:val="21"/>
                <w:lang w:eastAsia="zh-CN"/>
              </w:rPr>
              <w:t>（提供承诺）</w:t>
            </w:r>
          </w:p>
        </w:tc>
        <w:tc>
          <w:tcPr>
            <w:tcW w:w="1984" w:type="dxa"/>
          </w:tcPr>
          <w:p w14:paraId="59D62B3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7D0521C">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9EAAE49">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88FD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AA658ED">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2221" w:type="dxa"/>
            <w:vAlign w:val="center"/>
          </w:tcPr>
          <w:p w14:paraId="64EC4A04">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lang w:val="en-US" w:eastAsia="zh-CN"/>
              </w:rPr>
              <w:t>响应</w:t>
            </w:r>
            <w:r>
              <w:rPr>
                <w:rFonts w:hint="eastAsia" w:ascii="宋体" w:hAnsi="宋体" w:eastAsia="宋体" w:cs="宋体"/>
                <w:kern w:val="0"/>
                <w:szCs w:val="21"/>
              </w:rPr>
              <w:t>有效期</w:t>
            </w:r>
          </w:p>
        </w:tc>
        <w:tc>
          <w:tcPr>
            <w:tcW w:w="1984" w:type="dxa"/>
          </w:tcPr>
          <w:p w14:paraId="2CB1C271">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5F06211">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DB628F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DDE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1CD1242">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2221" w:type="dxa"/>
            <w:vAlign w:val="center"/>
          </w:tcPr>
          <w:p w14:paraId="1A6FB1F8">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实质性响应</w:t>
            </w:r>
          </w:p>
        </w:tc>
        <w:tc>
          <w:tcPr>
            <w:tcW w:w="1984" w:type="dxa"/>
          </w:tcPr>
          <w:p w14:paraId="4B35773A">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BFD9EBB">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68ADDEE1">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570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3AB36294">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w:t>
            </w:r>
          </w:p>
        </w:tc>
        <w:tc>
          <w:tcPr>
            <w:tcW w:w="2221" w:type="dxa"/>
            <w:vAlign w:val="center"/>
          </w:tcPr>
          <w:p w14:paraId="1C832363">
            <w:pPr>
              <w:snapToGrid w:val="0"/>
              <w:jc w:val="center"/>
              <w:rPr>
                <w:rFonts w:asciiTheme="minorEastAsia" w:hAnsiTheme="minorEastAsia" w:eastAsiaTheme="minorEastAsia"/>
                <w:szCs w:val="21"/>
                <w:highlight w:val="none"/>
              </w:rPr>
            </w:pPr>
            <w:r>
              <w:rPr>
                <w:rFonts w:hint="eastAsia" w:ascii="宋体" w:hAnsi="宋体" w:eastAsia="宋体" w:cs="宋体"/>
                <w:kern w:val="0"/>
                <w:szCs w:val="21"/>
              </w:rPr>
              <w:t>商务报价</w:t>
            </w:r>
          </w:p>
        </w:tc>
        <w:tc>
          <w:tcPr>
            <w:tcW w:w="1984" w:type="dxa"/>
          </w:tcPr>
          <w:p w14:paraId="0D950527">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35E47646">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75898C28">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1DA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E9FEC1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w:t>
            </w:r>
          </w:p>
        </w:tc>
        <w:tc>
          <w:tcPr>
            <w:tcW w:w="2221" w:type="dxa"/>
            <w:vAlign w:val="center"/>
          </w:tcPr>
          <w:p w14:paraId="5F41C9ED">
            <w:pPr>
              <w:snapToGrid w:val="0"/>
              <w:jc w:val="center"/>
              <w:rPr>
                <w:rFonts w:asciiTheme="minorEastAsia" w:hAnsiTheme="minorEastAsia" w:eastAsiaTheme="minorEastAsia"/>
                <w:szCs w:val="21"/>
                <w:highlight w:val="none"/>
              </w:rPr>
            </w:pPr>
            <w:r>
              <w:rPr>
                <w:rFonts w:hint="eastAsia" w:ascii="宋体" w:hAnsi="宋体" w:eastAsia="宋体" w:cs="宋体"/>
                <w:szCs w:val="21"/>
              </w:rPr>
              <w:t>廉洁承诺书</w:t>
            </w:r>
          </w:p>
        </w:tc>
        <w:tc>
          <w:tcPr>
            <w:tcW w:w="1984" w:type="dxa"/>
          </w:tcPr>
          <w:p w14:paraId="0041D04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C294258">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39CEDC30">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02D9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40A7458">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14</w:t>
            </w:r>
          </w:p>
        </w:tc>
        <w:tc>
          <w:tcPr>
            <w:tcW w:w="2221" w:type="dxa"/>
            <w:vAlign w:val="center"/>
          </w:tcPr>
          <w:p w14:paraId="675971E3">
            <w:pPr>
              <w:snapToGrid w:val="0"/>
              <w:jc w:val="center"/>
              <w:rPr>
                <w:rFonts w:hint="default" w:ascii="宋体" w:hAnsi="宋体" w:eastAsia="宋体" w:cs="宋体"/>
                <w:szCs w:val="21"/>
                <w:lang w:val="en-US" w:eastAsia="zh-CN"/>
              </w:rPr>
            </w:pPr>
            <w:r>
              <w:rPr>
                <w:rFonts w:hint="eastAsia" w:ascii="宋体" w:hAnsi="宋体" w:cs="宋体"/>
                <w:szCs w:val="21"/>
                <w:lang w:val="en-US" w:eastAsia="zh-CN"/>
              </w:rPr>
              <w:t>合同条款</w:t>
            </w:r>
          </w:p>
        </w:tc>
        <w:tc>
          <w:tcPr>
            <w:tcW w:w="1984" w:type="dxa"/>
          </w:tcPr>
          <w:p w14:paraId="0386E95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070AB632">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0D3AEE10">
            <w:pPr>
              <w:spacing w:line="360" w:lineRule="auto"/>
              <w:jc w:val="center"/>
              <w:rPr>
                <w:rFonts w:hint="eastAsia" w:asciiTheme="minorEastAsia" w:hAnsiTheme="minorEastAsia" w:eastAsiaTheme="minorEastAsia"/>
                <w:szCs w:val="21"/>
                <w:highlight w:val="none"/>
              </w:rPr>
            </w:pPr>
          </w:p>
        </w:tc>
      </w:tr>
      <w:tr w14:paraId="52590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48E520F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15</w:t>
            </w:r>
          </w:p>
        </w:tc>
        <w:tc>
          <w:tcPr>
            <w:tcW w:w="2221" w:type="dxa"/>
            <w:vAlign w:val="center"/>
          </w:tcPr>
          <w:p w14:paraId="720D22F2">
            <w:pPr>
              <w:snapToGrid w:val="0"/>
              <w:jc w:val="center"/>
              <w:rPr>
                <w:rFonts w:asciiTheme="minorEastAsia" w:hAnsiTheme="minorEastAsia" w:eastAsiaTheme="minorEastAsia"/>
                <w:szCs w:val="21"/>
                <w:highlight w:val="none"/>
              </w:rPr>
            </w:pPr>
            <w:r>
              <w:rPr>
                <w:rFonts w:hint="eastAsia" w:ascii="宋体" w:hAnsi="宋体" w:eastAsia="宋体" w:cs="宋体"/>
                <w:szCs w:val="21"/>
              </w:rPr>
              <w:t>技术条款</w:t>
            </w:r>
          </w:p>
        </w:tc>
        <w:tc>
          <w:tcPr>
            <w:tcW w:w="1984" w:type="dxa"/>
          </w:tcPr>
          <w:p w14:paraId="553EE94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C9B9CDF">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51890740">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291D0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6B840A9">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16</w:t>
            </w:r>
          </w:p>
        </w:tc>
        <w:tc>
          <w:tcPr>
            <w:tcW w:w="2221" w:type="dxa"/>
            <w:vAlign w:val="center"/>
          </w:tcPr>
          <w:p w14:paraId="2A85EC20">
            <w:pPr>
              <w:snapToGrid w:val="0"/>
              <w:jc w:val="center"/>
              <w:rPr>
                <w:rFonts w:asciiTheme="minorEastAsia" w:hAnsiTheme="minorEastAsia" w:eastAsiaTheme="minorEastAsia"/>
                <w:szCs w:val="21"/>
                <w:highlight w:val="none"/>
              </w:rPr>
            </w:pPr>
            <w:r>
              <w:rPr>
                <w:rFonts w:hint="eastAsia" w:ascii="宋体" w:hAnsi="宋体" w:eastAsia="宋体" w:cs="宋体"/>
                <w:szCs w:val="21"/>
              </w:rPr>
              <w:t>非实质性响应</w:t>
            </w:r>
          </w:p>
        </w:tc>
        <w:tc>
          <w:tcPr>
            <w:tcW w:w="1984" w:type="dxa"/>
          </w:tcPr>
          <w:p w14:paraId="5CE8B7D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69B6153">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7533357E">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70A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8A30917">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17</w:t>
            </w:r>
          </w:p>
        </w:tc>
        <w:tc>
          <w:tcPr>
            <w:tcW w:w="2221" w:type="dxa"/>
            <w:vAlign w:val="center"/>
          </w:tcPr>
          <w:p w14:paraId="2EE13D2E">
            <w:pPr>
              <w:snapToGrid w:val="0"/>
              <w:jc w:val="center"/>
              <w:rPr>
                <w:rFonts w:asciiTheme="minorEastAsia" w:hAnsiTheme="minorEastAsia" w:eastAsiaTheme="minorEastAsia"/>
                <w:szCs w:val="21"/>
                <w:highlight w:val="none"/>
              </w:rPr>
            </w:pPr>
            <w:r>
              <w:rPr>
                <w:rFonts w:hint="eastAsia" w:ascii="宋体" w:hAnsi="宋体" w:eastAsia="宋体" w:cs="宋体"/>
                <w:szCs w:val="21"/>
              </w:rPr>
              <w:t>其它要求</w:t>
            </w:r>
          </w:p>
        </w:tc>
        <w:tc>
          <w:tcPr>
            <w:tcW w:w="1984" w:type="dxa"/>
          </w:tcPr>
          <w:p w14:paraId="7658CB61">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41C28C9D">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4AF6651D">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5461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D1FC254">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221" w:type="dxa"/>
            <w:vAlign w:val="center"/>
          </w:tcPr>
          <w:p w14:paraId="3F8FAE92">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1984" w:type="dxa"/>
          </w:tcPr>
          <w:p w14:paraId="3C9501F9">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79B12ED">
            <w:pPr>
              <w:tabs>
                <w:tab w:val="left" w:pos="720"/>
              </w:tabs>
              <w:spacing w:line="360" w:lineRule="auto"/>
              <w:jc w:val="center"/>
              <w:rPr>
                <w:rFonts w:asciiTheme="minorEastAsia" w:hAnsiTheme="minorEastAsia" w:eastAsiaTheme="minorEastAsia"/>
                <w:szCs w:val="21"/>
                <w:highlight w:val="none"/>
              </w:rPr>
            </w:pPr>
          </w:p>
        </w:tc>
        <w:tc>
          <w:tcPr>
            <w:tcW w:w="1656" w:type="dxa"/>
            <w:vAlign w:val="center"/>
          </w:tcPr>
          <w:p w14:paraId="03911BB7">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14:paraId="699B3874">
      <w:pPr>
        <w:widowControl/>
        <w:jc w:val="left"/>
        <w:rPr>
          <w:rFonts w:asciiTheme="minorEastAsia" w:hAnsiTheme="minorEastAsia" w:eastAsiaTheme="minorEastAsia"/>
          <w:b/>
          <w:bCs/>
          <w:sz w:val="24"/>
          <w:highlight w:val="none"/>
        </w:rPr>
      </w:pPr>
    </w:p>
    <w:p w14:paraId="5E209F5B">
      <w:pPr>
        <w:widowControl/>
        <w:jc w:val="left"/>
        <w:rPr>
          <w:rFonts w:asciiTheme="minorEastAsia" w:hAnsiTheme="minorEastAsia" w:eastAsiaTheme="minorEastAsia"/>
          <w:b/>
          <w:bCs/>
          <w:sz w:val="24"/>
          <w:highlight w:val="none"/>
        </w:rPr>
      </w:pPr>
    </w:p>
    <w:p w14:paraId="4FCC5A35">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53DA2A71">
      <w:pPr>
        <w:widowControl/>
        <w:jc w:val="left"/>
        <w:rPr>
          <w:rFonts w:asciiTheme="minorEastAsia" w:hAnsiTheme="minorEastAsia" w:eastAsiaTheme="minorEastAsia"/>
          <w:b/>
          <w:bCs/>
          <w:sz w:val="24"/>
          <w:highlight w:val="none"/>
        </w:rPr>
      </w:pPr>
    </w:p>
    <w:p w14:paraId="38A4765A">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p w14:paraId="5B2D6F17">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58" w:name="_Toc11596"/>
      <w:bookmarkStart w:id="1659" w:name="_Toc24107"/>
      <w:bookmarkStart w:id="1660" w:name="_Toc9917"/>
      <w:bookmarkStart w:id="1661" w:name="_Toc2510"/>
      <w:bookmarkStart w:id="1662" w:name="_Toc2282"/>
      <w:bookmarkStart w:id="1663" w:name="_Toc26558"/>
      <w:bookmarkStart w:id="1664" w:name="_Toc9461"/>
      <w:bookmarkStart w:id="1665" w:name="_Toc12708"/>
      <w:bookmarkStart w:id="1666" w:name="_Toc20195"/>
      <w:bookmarkStart w:id="1667" w:name="_Toc14179"/>
      <w:bookmarkStart w:id="1668" w:name="_Toc30764"/>
      <w:bookmarkStart w:id="1669" w:name="_Toc27118"/>
      <w:bookmarkStart w:id="1670" w:name="_Toc19737"/>
      <w:r>
        <w:rPr>
          <w:rFonts w:hint="eastAsia" w:cs="Times New Roman" w:asciiTheme="minorEastAsia" w:hAnsiTheme="minorEastAsia" w:eastAsiaTheme="minorEastAsia"/>
          <w:b/>
          <w:bCs/>
          <w:kern w:val="2"/>
          <w:sz w:val="24"/>
          <w:szCs w:val="24"/>
          <w:lang w:val="en-US" w:eastAsia="zh-CN" w:bidi="ar-SA"/>
        </w:rPr>
        <w:t>3.</w:t>
      </w:r>
      <w:r>
        <w:rPr>
          <w:rFonts w:hint="eastAsia" w:asciiTheme="minorEastAsia" w:hAnsiTheme="minorEastAsia" w:eastAsiaTheme="minorEastAsia"/>
          <w:sz w:val="24"/>
          <w:szCs w:val="24"/>
          <w:highlight w:val="none"/>
        </w:rPr>
        <w:t>商务评审索引表</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p>
    <w:p w14:paraId="139DE900">
      <w:pPr>
        <w:rPr>
          <w:rFonts w:asciiTheme="minorEastAsia" w:hAnsiTheme="minorEastAsia" w:eastAsiaTheme="minorEastAsia"/>
          <w:highlight w:val="none"/>
        </w:rPr>
      </w:pPr>
    </w:p>
    <w:p w14:paraId="3270283C">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商务评审索引表</w:t>
      </w:r>
    </w:p>
    <w:p w14:paraId="05F1DCC5">
      <w:pPr>
        <w:jc w:val="center"/>
        <w:rPr>
          <w:rFonts w:asciiTheme="minorEastAsia" w:hAnsiTheme="minorEastAsia" w:eastAsiaTheme="minorEastAsia"/>
          <w:b/>
          <w:highlight w:val="none"/>
        </w:rPr>
      </w:pPr>
    </w:p>
    <w:p w14:paraId="650E65E7">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46"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007"/>
        <w:gridCol w:w="1773"/>
        <w:gridCol w:w="1984"/>
        <w:gridCol w:w="1656"/>
      </w:tblGrid>
      <w:tr w14:paraId="5BE6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1E12746">
            <w:pPr>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条款号</w:t>
            </w:r>
          </w:p>
        </w:tc>
        <w:tc>
          <w:tcPr>
            <w:tcW w:w="2007" w:type="dxa"/>
            <w:vAlign w:val="center"/>
          </w:tcPr>
          <w:p w14:paraId="7EBDAB49">
            <w:pPr>
              <w:jc w:val="center"/>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评审因素</w:t>
            </w:r>
          </w:p>
        </w:tc>
        <w:tc>
          <w:tcPr>
            <w:tcW w:w="1773" w:type="dxa"/>
            <w:vAlign w:val="center"/>
          </w:tcPr>
          <w:p w14:paraId="3B36AA35">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eastAsia="zh-CN"/>
              </w:rPr>
              <w:t>响应文件</w:t>
            </w:r>
            <w:r>
              <w:rPr>
                <w:rFonts w:hint="eastAsia" w:asciiTheme="minorEastAsia" w:hAnsiTheme="minorEastAsia" w:eastAsiaTheme="minorEastAsia"/>
                <w:sz w:val="21"/>
                <w:szCs w:val="21"/>
                <w:highlight w:val="none"/>
              </w:rPr>
              <w:t>组成</w:t>
            </w:r>
          </w:p>
        </w:tc>
        <w:tc>
          <w:tcPr>
            <w:tcW w:w="1984" w:type="dxa"/>
            <w:vAlign w:val="center"/>
          </w:tcPr>
          <w:p w14:paraId="33ED4042">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对应页码</w:t>
            </w:r>
          </w:p>
        </w:tc>
        <w:tc>
          <w:tcPr>
            <w:tcW w:w="1656" w:type="dxa"/>
            <w:vAlign w:val="center"/>
          </w:tcPr>
          <w:p w14:paraId="65137E6B">
            <w:pPr>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备注或者说明</w:t>
            </w:r>
          </w:p>
        </w:tc>
      </w:tr>
      <w:tr w14:paraId="5FCCC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trPr>
        <w:tc>
          <w:tcPr>
            <w:tcW w:w="1026" w:type="dxa"/>
            <w:vAlign w:val="center"/>
          </w:tcPr>
          <w:p w14:paraId="54E4BA09">
            <w:pPr>
              <w:tabs>
                <w:tab w:val="left" w:pos="720"/>
              </w:tabs>
              <w:spacing w:line="360" w:lineRule="auto"/>
              <w:ind w:left="-2" w:firstLine="1"/>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p>
        </w:tc>
        <w:tc>
          <w:tcPr>
            <w:tcW w:w="2007" w:type="dxa"/>
            <w:vAlign w:val="center"/>
          </w:tcPr>
          <w:p w14:paraId="54636DF8">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案例与业绩</w:t>
            </w:r>
          </w:p>
        </w:tc>
        <w:tc>
          <w:tcPr>
            <w:tcW w:w="1773" w:type="dxa"/>
          </w:tcPr>
          <w:p w14:paraId="3FFBD182">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1EB6F3AF">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388BDCC2">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16D3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B18857B">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p>
        </w:tc>
        <w:tc>
          <w:tcPr>
            <w:tcW w:w="2007" w:type="dxa"/>
            <w:vAlign w:val="center"/>
          </w:tcPr>
          <w:p w14:paraId="0942C2E6">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技术条款满足度</w:t>
            </w:r>
          </w:p>
        </w:tc>
        <w:tc>
          <w:tcPr>
            <w:tcW w:w="1773" w:type="dxa"/>
          </w:tcPr>
          <w:p w14:paraId="789BC0FE">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7922F72E">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11981F52">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588F5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026" w:type="dxa"/>
            <w:vAlign w:val="center"/>
          </w:tcPr>
          <w:p w14:paraId="77202A2A">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w:t>
            </w:r>
          </w:p>
        </w:tc>
        <w:tc>
          <w:tcPr>
            <w:tcW w:w="2007" w:type="dxa"/>
            <w:vAlign w:val="center"/>
          </w:tcPr>
          <w:p w14:paraId="290E54D1">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响应文件应答和制作情况</w:t>
            </w:r>
          </w:p>
        </w:tc>
        <w:tc>
          <w:tcPr>
            <w:tcW w:w="1773" w:type="dxa"/>
          </w:tcPr>
          <w:p w14:paraId="7DA5AF84">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73C2143F">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C70EC09">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4AE12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trPr>
        <w:tc>
          <w:tcPr>
            <w:tcW w:w="1026" w:type="dxa"/>
            <w:vAlign w:val="center"/>
          </w:tcPr>
          <w:p w14:paraId="66A5E010">
            <w:pPr>
              <w:tabs>
                <w:tab w:val="left" w:pos="720"/>
              </w:tabs>
              <w:spacing w:line="360" w:lineRule="auto"/>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4</w:t>
            </w:r>
          </w:p>
        </w:tc>
        <w:tc>
          <w:tcPr>
            <w:tcW w:w="2007" w:type="dxa"/>
            <w:vAlign w:val="center"/>
          </w:tcPr>
          <w:p w14:paraId="025E7686">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服务团队覆盖、服务人员数量、原厂服务能力</w:t>
            </w:r>
          </w:p>
        </w:tc>
        <w:tc>
          <w:tcPr>
            <w:tcW w:w="1773" w:type="dxa"/>
          </w:tcPr>
          <w:p w14:paraId="102BBDF9">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4A7D001D">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FB52CB9">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41067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F09E12D">
            <w:pPr>
              <w:tabs>
                <w:tab w:val="left" w:pos="720"/>
              </w:tabs>
              <w:spacing w:line="360" w:lineRule="auto"/>
              <w:jc w:val="center"/>
              <w:rPr>
                <w:rFonts w:hint="eastAsia"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5</w:t>
            </w:r>
          </w:p>
        </w:tc>
        <w:tc>
          <w:tcPr>
            <w:tcW w:w="2007" w:type="dxa"/>
            <w:vAlign w:val="center"/>
          </w:tcPr>
          <w:p w14:paraId="213E8142">
            <w:pPr>
              <w:keepNext w:val="0"/>
              <w:keepLines w:val="0"/>
              <w:widowControl/>
              <w:suppressLineNumbers w:val="0"/>
              <w:jc w:val="center"/>
              <w:textAlignment w:val="center"/>
              <w:rPr>
                <w:rFonts w:asciiTheme="minorEastAsia" w:hAnsiTheme="minorEastAsia" w:eastAsiaTheme="minorEastAsia"/>
                <w:sz w:val="21"/>
                <w:szCs w:val="21"/>
                <w:highlight w:val="none"/>
              </w:rPr>
            </w:pPr>
            <w:r>
              <w:rPr>
                <w:rFonts w:hint="eastAsia" w:ascii="宋体" w:hAnsi="宋体" w:eastAsia="宋体" w:cs="宋体"/>
                <w:i w:val="0"/>
                <w:iCs w:val="0"/>
                <w:color w:val="000000"/>
                <w:kern w:val="0"/>
                <w:sz w:val="21"/>
                <w:szCs w:val="21"/>
                <w:u w:val="none"/>
                <w:lang w:val="en-US" w:eastAsia="zh-CN" w:bidi="ar"/>
              </w:rPr>
              <w:t>服务与支持</w:t>
            </w:r>
          </w:p>
        </w:tc>
        <w:tc>
          <w:tcPr>
            <w:tcW w:w="1773" w:type="dxa"/>
          </w:tcPr>
          <w:p w14:paraId="6C4F0F23">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2C551E56">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657D0A6A">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7253F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78538DFC">
            <w:pPr>
              <w:tabs>
                <w:tab w:val="left" w:pos="720"/>
              </w:tabs>
              <w:spacing w:line="360" w:lineRule="auto"/>
              <w:jc w:val="center"/>
              <w:rPr>
                <w:rFonts w:hint="default" w:asciiTheme="minorEastAsia" w:hAnsiTheme="minorEastAsia" w:eastAsiaTheme="minorEastAsia"/>
                <w:sz w:val="21"/>
                <w:szCs w:val="21"/>
                <w:highlight w:val="none"/>
                <w:lang w:val="en-US" w:eastAsia="zh-CN"/>
              </w:rPr>
            </w:pPr>
            <w:r>
              <w:rPr>
                <w:rFonts w:hint="eastAsia" w:asciiTheme="minorEastAsia" w:hAnsiTheme="minorEastAsia" w:eastAsiaTheme="minorEastAsia"/>
                <w:sz w:val="21"/>
                <w:szCs w:val="21"/>
                <w:highlight w:val="none"/>
                <w:lang w:val="en-US" w:eastAsia="zh-CN"/>
              </w:rPr>
              <w:t>6</w:t>
            </w:r>
          </w:p>
        </w:tc>
        <w:tc>
          <w:tcPr>
            <w:tcW w:w="2007" w:type="dxa"/>
            <w:vAlign w:val="center"/>
          </w:tcPr>
          <w:p w14:paraId="1A71B34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交付满足度</w:t>
            </w:r>
          </w:p>
        </w:tc>
        <w:tc>
          <w:tcPr>
            <w:tcW w:w="1773" w:type="dxa"/>
          </w:tcPr>
          <w:p w14:paraId="3C888458">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605472A1">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71815582">
            <w:pPr>
              <w:spacing w:line="360" w:lineRule="auto"/>
              <w:jc w:val="cente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tr w14:paraId="55C5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5E4FF21B">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2007" w:type="dxa"/>
            <w:vAlign w:val="center"/>
          </w:tcPr>
          <w:p w14:paraId="7A44C1B8">
            <w:pPr>
              <w:tabs>
                <w:tab w:val="left" w:pos="720"/>
              </w:tabs>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c>
          <w:tcPr>
            <w:tcW w:w="1773" w:type="dxa"/>
          </w:tcPr>
          <w:p w14:paraId="244B5C0D">
            <w:pPr>
              <w:tabs>
                <w:tab w:val="left" w:pos="720"/>
              </w:tabs>
              <w:spacing w:line="360" w:lineRule="auto"/>
              <w:jc w:val="center"/>
              <w:rPr>
                <w:rFonts w:asciiTheme="minorEastAsia" w:hAnsiTheme="minorEastAsia" w:eastAsiaTheme="minorEastAsia"/>
                <w:sz w:val="21"/>
                <w:szCs w:val="21"/>
                <w:highlight w:val="none"/>
              </w:rPr>
            </w:pPr>
          </w:p>
        </w:tc>
        <w:tc>
          <w:tcPr>
            <w:tcW w:w="1984" w:type="dxa"/>
            <w:vAlign w:val="center"/>
          </w:tcPr>
          <w:p w14:paraId="3A400167">
            <w:pPr>
              <w:tabs>
                <w:tab w:val="left" w:pos="720"/>
              </w:tabs>
              <w:spacing w:line="360" w:lineRule="auto"/>
              <w:jc w:val="center"/>
              <w:rPr>
                <w:rFonts w:asciiTheme="minorEastAsia" w:hAnsiTheme="minorEastAsia" w:eastAsiaTheme="minorEastAsia"/>
                <w:sz w:val="21"/>
                <w:szCs w:val="21"/>
                <w:highlight w:val="none"/>
              </w:rPr>
            </w:pPr>
          </w:p>
        </w:tc>
        <w:tc>
          <w:tcPr>
            <w:tcW w:w="1656" w:type="dxa"/>
            <w:vAlign w:val="center"/>
          </w:tcPr>
          <w:p w14:paraId="3624BE9A">
            <w:pPr>
              <w:spacing w:line="360" w:lineRule="auto"/>
              <w:jc w:val="center"/>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p>
        </w:tc>
      </w:tr>
      <w:bookmarkEnd w:id="1655"/>
      <w:bookmarkEnd w:id="1656"/>
      <w:bookmarkEnd w:id="1657"/>
    </w:tbl>
    <w:p w14:paraId="0AD0D28F">
      <w:pPr>
        <w:rPr>
          <w:highlight w:val="none"/>
        </w:rPr>
      </w:pPr>
    </w:p>
    <w:p w14:paraId="580DE0A4">
      <w:pPr>
        <w:rPr>
          <w:highlight w:val="none"/>
        </w:rPr>
      </w:pPr>
    </w:p>
    <w:p w14:paraId="2E6BAB5A">
      <w:pPr>
        <w:rPr>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3AD1AE9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71" w:name="_Toc4735"/>
      <w:bookmarkStart w:id="1672" w:name="_Toc488002677"/>
      <w:bookmarkStart w:id="1673" w:name="_Toc19557"/>
      <w:bookmarkStart w:id="1674" w:name="_Toc4232"/>
      <w:bookmarkStart w:id="1675" w:name="_Toc27417"/>
      <w:bookmarkStart w:id="1676" w:name="_Toc20867"/>
      <w:bookmarkStart w:id="1677" w:name="_Toc14540"/>
      <w:bookmarkStart w:id="1678" w:name="_Toc22721"/>
      <w:bookmarkStart w:id="1679" w:name="_Toc16070"/>
      <w:bookmarkStart w:id="1680" w:name="_Toc8361"/>
      <w:bookmarkStart w:id="1681" w:name="_Toc31180"/>
      <w:bookmarkStart w:id="1682" w:name="_Toc28158"/>
      <w:bookmarkStart w:id="1683" w:name="_Toc12296"/>
      <w:bookmarkStart w:id="1684" w:name="_Toc28899"/>
      <w:bookmarkStart w:id="1685" w:name="_Toc475891555"/>
      <w:bookmarkStart w:id="1686" w:name="_Toc476245699"/>
      <w:bookmarkStart w:id="1687" w:name="_Toc475472672"/>
      <w:bookmarkStart w:id="1688" w:name="_Toc438052120"/>
      <w:r>
        <w:rPr>
          <w:rFonts w:hint="eastAsia" w:cs="Times New Roman" w:asciiTheme="minorEastAsia" w:hAnsiTheme="minorEastAsia" w:eastAsiaTheme="minorEastAsia"/>
          <w:b/>
          <w:bCs/>
          <w:kern w:val="2"/>
          <w:sz w:val="24"/>
          <w:szCs w:val="24"/>
          <w:lang w:val="en-US" w:eastAsia="zh-CN" w:bidi="ar-SA"/>
        </w:rPr>
        <w:t>4.</w:t>
      </w:r>
      <w:r>
        <w:rPr>
          <w:rFonts w:hint="eastAsia" w:asciiTheme="minorEastAsia" w:hAnsiTheme="minorEastAsia" w:eastAsiaTheme="minorEastAsia"/>
          <w:sz w:val="24"/>
          <w:szCs w:val="24"/>
          <w:highlight w:val="none"/>
        </w:rPr>
        <w:t>专用印章授权函（如有）</w:t>
      </w:r>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p>
    <w:bookmarkEnd w:id="1685"/>
    <w:bookmarkEnd w:id="1686"/>
    <w:p w14:paraId="4DD3831F">
      <w:pPr>
        <w:spacing w:line="400" w:lineRule="exact"/>
        <w:jc w:val="center"/>
        <w:rPr>
          <w:rFonts w:asciiTheme="minorEastAsia" w:hAnsiTheme="minorEastAsia" w:eastAsiaTheme="minorEastAsia"/>
          <w:b/>
          <w:sz w:val="24"/>
          <w:highlight w:val="none"/>
        </w:rPr>
      </w:pPr>
    </w:p>
    <w:p w14:paraId="43F1EBAD">
      <w:pPr>
        <w:spacing w:line="400" w:lineRule="exact"/>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专用印章授权函</w:t>
      </w:r>
    </w:p>
    <w:p w14:paraId="09B5F3DF">
      <w:pPr>
        <w:spacing w:line="400" w:lineRule="exact"/>
        <w:jc w:val="center"/>
        <w:rPr>
          <w:rFonts w:asciiTheme="minorEastAsia" w:hAnsiTheme="minorEastAsia" w:eastAsiaTheme="minorEastAsia"/>
          <w:color w:val="000000"/>
          <w:szCs w:val="21"/>
          <w:highlight w:val="none"/>
          <w:u w:val="single"/>
        </w:rPr>
      </w:pPr>
    </w:p>
    <w:p w14:paraId="1E069F1B">
      <w:pPr>
        <w:spacing w:line="360" w:lineRule="auto"/>
        <w:rPr>
          <w:rFonts w:asciiTheme="minorEastAsia" w:hAnsiTheme="minorEastAsia" w:eastAsiaTheme="minorEastAsia"/>
          <w:sz w:val="24"/>
          <w:highlight w:val="none"/>
        </w:rPr>
      </w:pPr>
    </w:p>
    <w:p w14:paraId="3D6BE7B0">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我单位特授权在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询比项目</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询比活动</w:t>
      </w:r>
      <w:r>
        <w:rPr>
          <w:rFonts w:hint="eastAsia" w:asciiTheme="minorEastAsia" w:hAnsiTheme="minorEastAsia" w:eastAsiaTheme="minorEastAsia"/>
          <w:szCs w:val="21"/>
          <w:highlight w:val="none"/>
        </w:rPr>
        <w:t>中使用“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与我公司公章具有同等法律效力。因使用“</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（被授权印章名称）</w:t>
      </w:r>
      <w:r>
        <w:rPr>
          <w:rFonts w:hint="eastAsia" w:asciiTheme="minorEastAsia" w:hAnsiTheme="minorEastAsia" w:eastAsiaTheme="minorEastAsia"/>
          <w:szCs w:val="21"/>
          <w:highlight w:val="none"/>
        </w:rPr>
        <w:t>”所引起的法律后果由我单位承担。</w:t>
      </w:r>
    </w:p>
    <w:p w14:paraId="1BAF469C">
      <w:pPr>
        <w:spacing w:line="360" w:lineRule="auto"/>
        <w:ind w:firstLine="420" w:firstLineChars="200"/>
        <w:jc w:val="left"/>
        <w:rPr>
          <w:rFonts w:asciiTheme="minorEastAsia" w:hAnsiTheme="minorEastAsia" w:eastAsiaTheme="minorEastAsia"/>
          <w:szCs w:val="21"/>
          <w:highlight w:val="none"/>
        </w:rPr>
      </w:pPr>
    </w:p>
    <w:p w14:paraId="0CE30709">
      <w:pPr>
        <w:spacing w:line="360" w:lineRule="auto"/>
        <w:ind w:firstLine="420" w:firstLineChars="200"/>
        <w:jc w:val="lef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特此证明。</w:t>
      </w:r>
    </w:p>
    <w:p w14:paraId="4F6EE46E">
      <w:pPr>
        <w:ind w:firstLine="422" w:firstLineChars="200"/>
        <w:rPr>
          <w:rFonts w:asciiTheme="minorEastAsia" w:hAnsiTheme="minorEastAsia" w:eastAsiaTheme="minorEastAsia"/>
          <w:b/>
          <w:szCs w:val="21"/>
          <w:highlight w:val="none"/>
        </w:rPr>
      </w:pPr>
    </w:p>
    <w:p w14:paraId="3B10A777">
      <w:pPr>
        <w:ind w:firstLine="422" w:firstLineChars="200"/>
        <w:rPr>
          <w:rFonts w:asciiTheme="minorEastAsia" w:hAnsiTheme="minorEastAsia" w:eastAsiaTheme="minorEastAsia"/>
          <w:b/>
          <w:szCs w:val="21"/>
          <w:highlight w:val="none"/>
        </w:rPr>
      </w:pPr>
    </w:p>
    <w:p w14:paraId="781FEC87">
      <w:pPr>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被授权印章：                            </w:t>
      </w:r>
    </w:p>
    <w:p w14:paraId="2F2E12BD">
      <w:pPr>
        <w:rPr>
          <w:rFonts w:asciiTheme="minorEastAsia" w:hAnsiTheme="minorEastAsia" w:eastAsiaTheme="minorEastAsia"/>
          <w:szCs w:val="21"/>
          <w:highlight w:val="none"/>
        </w:rPr>
      </w:pPr>
      <w:r>
        <w:rPr>
          <w:rFonts w:asciiTheme="minorEastAsia" w:hAnsiTheme="minorEastAsia" w:eastAsiaTheme="minorEastAsia"/>
          <w:highlight w:val="none"/>
        </w:rPr>
        <mc:AlternateContent>
          <mc:Choice Requires="wps">
            <w:drawing>
              <wp:anchor distT="0" distB="0" distL="114300" distR="114300" simplePos="0" relativeHeight="251663360" behindDoc="0" locked="0" layoutInCell="1" allowOverlap="1">
                <wp:simplePos x="0" y="0"/>
                <wp:positionH relativeFrom="column">
                  <wp:posOffset>209550</wp:posOffset>
                </wp:positionH>
                <wp:positionV relativeFrom="paragraph">
                  <wp:posOffset>89535</wp:posOffset>
                </wp:positionV>
                <wp:extent cx="2339975" cy="2339975"/>
                <wp:effectExtent l="4445" t="4445" r="5080" b="5080"/>
                <wp:wrapNone/>
                <wp:docPr id="17" name="矩形 2"/>
                <wp:cNvGraphicFramePr/>
                <a:graphic xmlns:a="http://schemas.openxmlformats.org/drawingml/2006/main">
                  <a:graphicData uri="http://schemas.microsoft.com/office/word/2010/wordprocessingShape">
                    <wps:wsp>
                      <wps:cNvSpPr>
                        <a:spLocks noChangeArrowheads="1"/>
                      </wps:cNvSpPr>
                      <wps:spPr bwMode="auto">
                        <a:xfrm>
                          <a:off x="0" y="0"/>
                          <a:ext cx="2339975" cy="2339975"/>
                        </a:xfrm>
                        <a:prstGeom prst="rect">
                          <a:avLst/>
                        </a:prstGeom>
                        <a:solidFill>
                          <a:srgbClr val="FFFFFF"/>
                        </a:solidFill>
                        <a:ln w="9525">
                          <a:solidFill>
                            <a:srgbClr val="000000"/>
                          </a:solidFill>
                          <a:miter lim="800000"/>
                        </a:ln>
                        <a:effectLst/>
                      </wps:spPr>
                      <wps:txbx>
                        <w:txbxContent>
                          <w:p w14:paraId="5E676C16">
                            <w:r>
                              <w:rPr>
                                <w:rFonts w:hint="eastAsia"/>
                              </w:rPr>
                              <w:t>（在此盖章）</w:t>
                            </w:r>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16.5pt;margin-top:7.05pt;height:184.25pt;width:184.25pt;z-index:251663360;mso-width-relative:page;mso-height-relative:page;" fillcolor="#FFFFFF" filled="t" stroked="t" coordsize="21600,21600" o:gfxdata="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gMHGdcAAAAJAQAADwAAAAAAAAABACAAAAAiAAAAZHJzL2Rv&#10;d25yZXYueG1sUEsBAhQAFAAAAAgAh07iQJxCQWA7AgAAigQAAA4AAAAAAAAAAQAgAAAAJgEAAGRy&#10;cy9lMm9Eb2MueG1sUEsFBgAAAAAGAAYAWQEAANMFAAAAAA==&#10;">
                <v:fill on="t" focussize="0,0"/>
                <v:stroke color="#000000" miterlimit="8" joinstyle="miter"/>
                <v:imagedata o:title=""/>
                <o:lock v:ext="edit" aspectratio="f"/>
                <v:textbox>
                  <w:txbxContent>
                    <w:p w14:paraId="5E676C16">
                      <w:r>
                        <w:rPr>
                          <w:rFonts w:hint="eastAsia"/>
                        </w:rPr>
                        <w:t>（在此盖章）</w:t>
                      </w:r>
                    </w:p>
                  </w:txbxContent>
                </v:textbox>
              </v:rect>
            </w:pict>
          </mc:Fallback>
        </mc:AlternateContent>
      </w:r>
    </w:p>
    <w:p w14:paraId="7505752D">
      <w:pPr>
        <w:rPr>
          <w:rFonts w:asciiTheme="minorEastAsia" w:hAnsiTheme="minorEastAsia" w:eastAsiaTheme="minorEastAsia"/>
          <w:szCs w:val="21"/>
          <w:highlight w:val="none"/>
        </w:rPr>
      </w:pPr>
    </w:p>
    <w:p w14:paraId="0A8361F7">
      <w:pPr>
        <w:rPr>
          <w:rFonts w:asciiTheme="minorEastAsia" w:hAnsiTheme="minorEastAsia" w:eastAsiaTheme="minorEastAsia"/>
          <w:szCs w:val="21"/>
          <w:highlight w:val="none"/>
        </w:rPr>
      </w:pPr>
    </w:p>
    <w:p w14:paraId="5F620B95">
      <w:pPr>
        <w:rPr>
          <w:rFonts w:asciiTheme="minorEastAsia" w:hAnsiTheme="minorEastAsia" w:eastAsiaTheme="minorEastAsia"/>
          <w:szCs w:val="21"/>
          <w:highlight w:val="none"/>
        </w:rPr>
      </w:pPr>
    </w:p>
    <w:p w14:paraId="09D0AC39">
      <w:pPr>
        <w:rPr>
          <w:rFonts w:asciiTheme="minorEastAsia" w:hAnsiTheme="minorEastAsia" w:eastAsiaTheme="minorEastAsia"/>
          <w:szCs w:val="21"/>
          <w:highlight w:val="none"/>
        </w:rPr>
      </w:pPr>
    </w:p>
    <w:p w14:paraId="1C48DFE6">
      <w:pPr>
        <w:ind w:firstLine="1259" w:firstLineChars="597"/>
        <w:rPr>
          <w:rFonts w:asciiTheme="minorEastAsia" w:hAnsiTheme="minorEastAsia" w:eastAsiaTheme="minorEastAsia"/>
          <w:b/>
          <w:szCs w:val="21"/>
          <w:highlight w:val="none"/>
        </w:rPr>
      </w:pPr>
    </w:p>
    <w:p w14:paraId="1FA07010">
      <w:pPr>
        <w:ind w:right="18" w:firstLine="4676" w:firstLineChars="2227"/>
        <w:rPr>
          <w:rFonts w:asciiTheme="minorEastAsia" w:hAnsiTheme="minorEastAsia" w:eastAsiaTheme="minorEastAsia"/>
          <w:szCs w:val="21"/>
          <w:highlight w:val="none"/>
        </w:rPr>
      </w:pPr>
    </w:p>
    <w:p w14:paraId="7F85FD4A">
      <w:pPr>
        <w:ind w:right="18" w:firstLine="4676" w:firstLineChars="2227"/>
        <w:rPr>
          <w:rFonts w:asciiTheme="minorEastAsia" w:hAnsiTheme="minorEastAsia" w:eastAsiaTheme="minorEastAsia"/>
          <w:szCs w:val="21"/>
          <w:highlight w:val="none"/>
        </w:rPr>
      </w:pPr>
    </w:p>
    <w:p w14:paraId="537C68CC">
      <w:pPr>
        <w:ind w:right="18" w:firstLine="4676" w:firstLineChars="2227"/>
        <w:rPr>
          <w:rFonts w:asciiTheme="minorEastAsia" w:hAnsiTheme="minorEastAsia" w:eastAsiaTheme="minorEastAsia"/>
          <w:szCs w:val="21"/>
          <w:highlight w:val="none"/>
        </w:rPr>
      </w:pPr>
    </w:p>
    <w:p w14:paraId="72FCD73A">
      <w:pPr>
        <w:ind w:right="18" w:firstLine="4676" w:firstLineChars="2227"/>
        <w:rPr>
          <w:rFonts w:asciiTheme="minorEastAsia" w:hAnsiTheme="minorEastAsia" w:eastAsiaTheme="minorEastAsia"/>
          <w:szCs w:val="21"/>
          <w:highlight w:val="none"/>
        </w:rPr>
      </w:pPr>
    </w:p>
    <w:p w14:paraId="2F024991">
      <w:pPr>
        <w:ind w:right="18" w:firstLine="4676" w:firstLineChars="2227"/>
        <w:rPr>
          <w:rFonts w:asciiTheme="minorEastAsia" w:hAnsiTheme="minorEastAsia" w:eastAsiaTheme="minorEastAsia"/>
          <w:szCs w:val="21"/>
          <w:highlight w:val="none"/>
        </w:rPr>
      </w:pPr>
    </w:p>
    <w:p w14:paraId="294E6354">
      <w:pPr>
        <w:ind w:right="18" w:firstLine="4676" w:firstLineChars="2227"/>
        <w:rPr>
          <w:rFonts w:asciiTheme="minorEastAsia" w:hAnsiTheme="minorEastAsia" w:eastAsiaTheme="minorEastAsia"/>
          <w:szCs w:val="21"/>
          <w:highlight w:val="none"/>
        </w:rPr>
      </w:pPr>
    </w:p>
    <w:p w14:paraId="16A066AE">
      <w:pPr>
        <w:ind w:right="18" w:firstLine="4676" w:firstLineChars="2227"/>
        <w:rPr>
          <w:rFonts w:asciiTheme="minorEastAsia" w:hAnsiTheme="minorEastAsia" w:eastAsiaTheme="minorEastAsia"/>
          <w:szCs w:val="21"/>
          <w:highlight w:val="none"/>
        </w:rPr>
      </w:pPr>
    </w:p>
    <w:p w14:paraId="72BBC2EA">
      <w:pPr>
        <w:ind w:right="18" w:firstLine="4676" w:firstLineChars="2227"/>
        <w:rPr>
          <w:rFonts w:asciiTheme="minorEastAsia" w:hAnsiTheme="minorEastAsia" w:eastAsiaTheme="minorEastAsia"/>
          <w:szCs w:val="21"/>
          <w:highlight w:val="none"/>
        </w:rPr>
      </w:pPr>
    </w:p>
    <w:p w14:paraId="6202C22D">
      <w:pPr>
        <w:ind w:right="18" w:firstLine="4676" w:firstLineChars="2227"/>
        <w:rPr>
          <w:rFonts w:asciiTheme="minorEastAsia" w:hAnsiTheme="minorEastAsia" w:eastAsiaTheme="minorEastAsia"/>
          <w:szCs w:val="21"/>
          <w:highlight w:val="none"/>
        </w:rPr>
      </w:pPr>
    </w:p>
    <w:p w14:paraId="270B121E">
      <w:pPr>
        <w:ind w:right="18"/>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（盖单位公章）</w:t>
      </w:r>
    </w:p>
    <w:p w14:paraId="3F99E764">
      <w:pPr>
        <w:spacing w:line="440" w:lineRule="exact"/>
        <w:ind w:firstLine="2835" w:firstLineChars="135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年</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月</w:t>
      </w:r>
      <w:r>
        <w:rPr>
          <w:rFonts w:asciiTheme="minorEastAsia" w:hAnsiTheme="minorEastAsia" w:eastAsiaTheme="minorEastAsia"/>
          <w:szCs w:val="21"/>
          <w:highlight w:val="none"/>
        </w:rPr>
        <w:t xml:space="preserve">    </w:t>
      </w:r>
      <w:r>
        <w:rPr>
          <w:rFonts w:hint="eastAsia" w:asciiTheme="minorEastAsia" w:hAnsiTheme="minorEastAsia" w:eastAsiaTheme="minorEastAsia"/>
          <w:szCs w:val="21"/>
          <w:highlight w:val="none"/>
        </w:rPr>
        <w:t>日</w:t>
      </w:r>
    </w:p>
    <w:p w14:paraId="2731BFC3">
      <w:pPr>
        <w:topLinePunct/>
        <w:spacing w:line="440" w:lineRule="exact"/>
        <w:jc w:val="left"/>
        <w:rPr>
          <w:rFonts w:asciiTheme="minorEastAsia" w:hAnsiTheme="minorEastAsia" w:eastAsiaTheme="minorEastAsia"/>
          <w:color w:val="000000"/>
          <w:highlight w:val="none"/>
        </w:rPr>
      </w:pPr>
    </w:p>
    <w:p w14:paraId="7AFA1763">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b/>
          <w:color w:val="000000"/>
          <w:highlight w:val="none"/>
        </w:rPr>
        <w:t>编制要求</w:t>
      </w:r>
      <w:r>
        <w:rPr>
          <w:rFonts w:hint="eastAsia" w:asciiTheme="minorEastAsia" w:hAnsiTheme="minorEastAsia" w:eastAsiaTheme="minorEastAsia"/>
          <w:color w:val="000000"/>
          <w:highlight w:val="none"/>
        </w:rPr>
        <w:t>：</w:t>
      </w:r>
    </w:p>
    <w:p w14:paraId="0C42C668">
      <w:pPr>
        <w:topLinePunct/>
        <w:spacing w:line="440" w:lineRule="exact"/>
        <w:jc w:val="left"/>
        <w:rPr>
          <w:rFonts w:asciiTheme="minorEastAsia" w:hAnsiTheme="minorEastAsia" w:eastAsiaTheme="minorEastAsia"/>
          <w:color w:val="000000"/>
          <w:highlight w:val="none"/>
        </w:rPr>
      </w:pPr>
      <w:r>
        <w:rPr>
          <w:rFonts w:hint="eastAsia" w:asciiTheme="minorEastAsia" w:hAnsiTheme="minorEastAsia" w:eastAsiaTheme="minorEastAsia"/>
          <w:color w:val="000000"/>
          <w:highlight w:val="none"/>
        </w:rPr>
        <w:t>1. 本文件仅适用于</w:t>
      </w:r>
      <w:r>
        <w:rPr>
          <w:rFonts w:hint="eastAsia" w:asciiTheme="minorEastAsia" w:hAnsiTheme="minorEastAsia" w:eastAsiaTheme="minorEastAsia"/>
          <w:szCs w:val="21"/>
          <w:highlight w:val="none"/>
        </w:rPr>
        <w:t>要求</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加盖印章扫描件的情形</w:t>
      </w:r>
      <w:r>
        <w:rPr>
          <w:rFonts w:hint="eastAsia" w:asciiTheme="minorEastAsia" w:hAnsiTheme="minorEastAsia" w:eastAsiaTheme="minorEastAsia"/>
          <w:color w:val="000000"/>
          <w:highlight w:val="none"/>
        </w:rPr>
        <w:t>。</w:t>
      </w:r>
    </w:p>
    <w:p w14:paraId="05D73BDD">
      <w:pPr>
        <w:topLinePunct/>
        <w:spacing w:line="440" w:lineRule="exact"/>
        <w:jc w:val="left"/>
        <w:rPr>
          <w:rFonts w:asciiTheme="minorEastAsia" w:hAnsiTheme="minorEastAsia" w:eastAsiaTheme="minorEastAsia"/>
          <w:b/>
          <w:bCs/>
          <w:sz w:val="32"/>
          <w:szCs w:val="21"/>
          <w:highlight w:val="none"/>
        </w:rPr>
      </w:pPr>
      <w:r>
        <w:rPr>
          <w:rFonts w:hint="eastAsia" w:asciiTheme="minorEastAsia" w:hAnsiTheme="minorEastAsia" w:eastAsiaTheme="minorEastAsia"/>
          <w:color w:val="000000"/>
          <w:szCs w:val="21"/>
          <w:highlight w:val="none"/>
        </w:rPr>
        <w:t>2.</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color w:val="000000"/>
          <w:szCs w:val="21"/>
          <w:highlight w:val="none"/>
        </w:rPr>
        <w:t>。</w:t>
      </w:r>
      <w:r>
        <w:rPr>
          <w:rFonts w:asciiTheme="minorEastAsia" w:hAnsiTheme="minorEastAsia" w:eastAsiaTheme="minorEastAsia"/>
          <w:szCs w:val="21"/>
          <w:highlight w:val="none"/>
        </w:rPr>
        <w:br w:type="page"/>
      </w:r>
    </w:p>
    <w:p w14:paraId="35992BD2">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689" w:name="_Toc31730"/>
      <w:bookmarkStart w:id="1690" w:name="_Toc11268"/>
      <w:bookmarkStart w:id="1691" w:name="_Toc7811"/>
      <w:bookmarkStart w:id="1692" w:name="_Toc1642"/>
      <w:bookmarkStart w:id="1693" w:name="_Toc7090"/>
      <w:bookmarkStart w:id="1694" w:name="_Toc24891"/>
      <w:bookmarkStart w:id="1695" w:name="_Toc19550"/>
      <w:bookmarkStart w:id="1696" w:name="_Toc29515"/>
      <w:bookmarkStart w:id="1697" w:name="_Toc4954"/>
      <w:bookmarkStart w:id="1698" w:name="_Toc30733"/>
      <w:bookmarkStart w:id="1699" w:name="_Toc19244"/>
      <w:bookmarkStart w:id="1700" w:name="_Toc12196"/>
      <w:bookmarkStart w:id="1701" w:name="_Toc29333"/>
      <w:r>
        <w:rPr>
          <w:rFonts w:hint="eastAsia" w:cs="Times New Roman" w:asciiTheme="minorEastAsia" w:hAnsiTheme="minorEastAsia" w:eastAsiaTheme="minorEastAsia"/>
          <w:b/>
          <w:bCs/>
          <w:kern w:val="2"/>
          <w:sz w:val="24"/>
          <w:szCs w:val="24"/>
          <w:lang w:val="en-US" w:eastAsia="zh-CN" w:bidi="ar-SA"/>
        </w:rPr>
        <w:t>5.</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函</w:t>
      </w:r>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p>
    <w:p w14:paraId="6F6313C4">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lang w:val="en-US" w:eastAsia="zh-CN"/>
        </w:rPr>
        <w:t xml:space="preserve">响   应   </w:t>
      </w:r>
      <w:r>
        <w:rPr>
          <w:rFonts w:hint="eastAsia" w:asciiTheme="minorEastAsia" w:hAnsiTheme="minorEastAsia" w:eastAsiaTheme="minorEastAsia"/>
          <w:b/>
          <w:sz w:val="24"/>
          <w:highlight w:val="none"/>
        </w:rPr>
        <w:t>函</w:t>
      </w:r>
    </w:p>
    <w:p w14:paraId="155C402A">
      <w:pPr>
        <w:adjustRightInd w:val="0"/>
        <w:snapToGrid w:val="0"/>
        <w:spacing w:line="440" w:lineRule="exact"/>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致：</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u w:val="single"/>
        </w:rPr>
        <w:t>XX公司[</w:t>
      </w:r>
      <w:r>
        <w:rPr>
          <w:rFonts w:hint="eastAsia" w:asciiTheme="minorEastAsia" w:hAnsiTheme="minorEastAsia" w:eastAsiaTheme="minorEastAsia"/>
          <w:highlight w:val="none"/>
          <w:u w:val="single"/>
          <w:lang w:eastAsia="zh-CN"/>
        </w:rPr>
        <w:t>采购人</w:t>
      </w:r>
      <w:r>
        <w:rPr>
          <w:rFonts w:hint="eastAsia" w:asciiTheme="minorEastAsia" w:hAnsiTheme="minorEastAsia" w:eastAsiaTheme="minorEastAsia"/>
          <w:highlight w:val="none"/>
          <w:u w:val="single"/>
        </w:rPr>
        <w:t>名称]</w:t>
      </w:r>
      <w:r>
        <w:rPr>
          <w:rFonts w:hint="eastAsia" w:asciiTheme="minorEastAsia" w:hAnsiTheme="minorEastAsia" w:eastAsiaTheme="minorEastAsia"/>
          <w:szCs w:val="21"/>
          <w:highlight w:val="none"/>
        </w:rPr>
        <w:t>】</w:t>
      </w:r>
      <w:r>
        <w:rPr>
          <w:rFonts w:cs="宋体" w:asciiTheme="minorEastAsia" w:hAnsiTheme="minorEastAsia" w:eastAsiaTheme="minorEastAsia"/>
          <w:szCs w:val="21"/>
          <w:highlight w:val="none"/>
        </w:rPr>
        <w:t>：</w:t>
      </w:r>
    </w:p>
    <w:p w14:paraId="63B7DAFB">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（以下称“我方”）</w:t>
      </w:r>
      <w:r>
        <w:rPr>
          <w:rFonts w:asciiTheme="minorEastAsia" w:hAnsiTheme="minorEastAsia" w:eastAsiaTheme="minorEastAsia"/>
          <w:szCs w:val="21"/>
          <w:highlight w:val="none"/>
        </w:rPr>
        <w:t>已仔细研究了</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名称）</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lang w:eastAsia="zh-CN"/>
        </w:rPr>
        <w:t>标包</w:t>
      </w:r>
      <w:r>
        <w:rPr>
          <w:rFonts w:hint="eastAsia" w:asciiTheme="minorEastAsia" w:hAnsiTheme="minorEastAsia" w:eastAsiaTheme="minorEastAsia"/>
          <w:szCs w:val="21"/>
          <w:highlight w:val="none"/>
        </w:rPr>
        <w:t>（项目编号：</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询比文件</w:t>
      </w:r>
      <w:r>
        <w:rPr>
          <w:rFonts w:asciiTheme="minorEastAsia" w:hAnsiTheme="minorEastAsia" w:eastAsiaTheme="minorEastAsia"/>
          <w:szCs w:val="21"/>
          <w:highlight w:val="none"/>
        </w:rPr>
        <w:t>的全部内容</w:t>
      </w:r>
      <w:r>
        <w:rPr>
          <w:rFonts w:hint="eastAsia" w:asciiTheme="minorEastAsia" w:hAnsiTheme="minorEastAsia" w:eastAsiaTheme="minorEastAsia"/>
          <w:szCs w:val="21"/>
          <w:highlight w:val="none"/>
        </w:rPr>
        <w:t>，</w:t>
      </w:r>
      <w:r>
        <w:rPr>
          <w:rFonts w:asciiTheme="minorEastAsia" w:hAnsiTheme="minorEastAsia" w:eastAsiaTheme="minorEastAsia"/>
          <w:bCs/>
          <w:szCs w:val="21"/>
          <w:highlight w:val="none"/>
        </w:rPr>
        <w:t>包括</w:t>
      </w:r>
      <w:r>
        <w:rPr>
          <w:rFonts w:hint="eastAsia" w:asciiTheme="minorEastAsia" w:hAnsiTheme="minorEastAsia" w:eastAsiaTheme="minorEastAsia"/>
          <w:bCs/>
          <w:szCs w:val="21"/>
          <w:highlight w:val="none"/>
        </w:rPr>
        <w:t>澄清或者</w:t>
      </w:r>
      <w:r>
        <w:rPr>
          <w:rFonts w:asciiTheme="minorEastAsia" w:hAnsiTheme="minorEastAsia" w:eastAsiaTheme="minorEastAsia"/>
          <w:bCs/>
          <w:szCs w:val="21"/>
          <w:highlight w:val="none"/>
        </w:rPr>
        <w:t>修改文件</w:t>
      </w:r>
      <w:r>
        <w:rPr>
          <w:rFonts w:hint="eastAsia" w:asciiTheme="minorEastAsia" w:hAnsiTheme="minorEastAsia" w:eastAsiaTheme="minorEastAsia"/>
          <w:bCs/>
          <w:szCs w:val="21"/>
          <w:highlight w:val="none"/>
        </w:rPr>
        <w:t>以及</w:t>
      </w:r>
      <w:r>
        <w:rPr>
          <w:rFonts w:asciiTheme="minorEastAsia" w:hAnsiTheme="minorEastAsia" w:eastAsiaTheme="minorEastAsia"/>
          <w:bCs/>
          <w:szCs w:val="21"/>
          <w:highlight w:val="none"/>
        </w:rPr>
        <w:t>有关附件</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rPr>
        <w:t>我方将严格按照</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要求</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符合要求的全部</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w:t>
      </w:r>
    </w:p>
    <w:p w14:paraId="5F67F409">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我方承诺如下内容：</w:t>
      </w:r>
    </w:p>
    <w:p w14:paraId="36A53F09">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包含第二章“</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须知”第3.1款规定的全部内容。</w:t>
      </w:r>
    </w:p>
    <w:p w14:paraId="4B7A98A3">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规定的</w:t>
      </w:r>
      <w:r>
        <w:rPr>
          <w:rFonts w:hint="eastAsia" w:asciiTheme="minorEastAsia" w:hAnsiTheme="minorEastAsia" w:eastAsiaTheme="minorEastAsia"/>
          <w:szCs w:val="21"/>
          <w:highlight w:val="none"/>
          <w:lang w:eastAsia="zh-CN"/>
        </w:rPr>
        <w:t>响应有效期</w:t>
      </w:r>
      <w:r>
        <w:rPr>
          <w:rFonts w:asciiTheme="minorEastAsia" w:hAnsiTheme="minorEastAsia" w:eastAsiaTheme="minorEastAsia"/>
          <w:szCs w:val="21"/>
          <w:highlight w:val="none"/>
        </w:rPr>
        <w:t>内不修改、撤销</w:t>
      </w:r>
      <w:r>
        <w:rPr>
          <w:rFonts w:hint="eastAsia" w:asciiTheme="minorEastAsia" w:hAnsiTheme="minorEastAsia" w:eastAsiaTheme="minorEastAsia"/>
          <w:szCs w:val="21"/>
          <w:highlight w:val="none"/>
          <w:lang w:eastAsia="zh-CN"/>
        </w:rPr>
        <w:t>响应文件</w:t>
      </w:r>
      <w:r>
        <w:rPr>
          <w:rFonts w:asciiTheme="minorEastAsia" w:hAnsiTheme="minorEastAsia" w:eastAsiaTheme="minorEastAsia"/>
          <w:szCs w:val="21"/>
          <w:highlight w:val="none"/>
        </w:rPr>
        <w:t>。</w:t>
      </w:r>
    </w:p>
    <w:p w14:paraId="1E382D3A">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随同本</w:t>
      </w:r>
      <w:r>
        <w:rPr>
          <w:rFonts w:hint="eastAsia" w:asciiTheme="minorEastAsia" w:hAnsiTheme="minorEastAsia" w:eastAsiaTheme="minorEastAsia"/>
          <w:szCs w:val="21"/>
          <w:highlight w:val="none"/>
          <w:lang w:eastAsia="zh-CN"/>
        </w:rPr>
        <w:t>响应</w:t>
      </w:r>
      <w:r>
        <w:rPr>
          <w:rFonts w:asciiTheme="minorEastAsia" w:hAnsiTheme="minorEastAsia" w:eastAsiaTheme="minorEastAsia"/>
          <w:szCs w:val="21"/>
          <w:highlight w:val="none"/>
        </w:rPr>
        <w:t>函</w:t>
      </w:r>
      <w:r>
        <w:rPr>
          <w:rFonts w:hint="eastAsia" w:asciiTheme="minorEastAsia" w:hAnsiTheme="minorEastAsia" w:eastAsiaTheme="minorEastAsia"/>
          <w:szCs w:val="21"/>
          <w:highlight w:val="none"/>
          <w:lang w:eastAsia="zh-CN"/>
        </w:rPr>
        <w:t>递交响应保证金</w:t>
      </w:r>
      <w:r>
        <w:rPr>
          <w:rFonts w:asciiTheme="minorEastAsia" w:hAnsiTheme="minorEastAsia" w:eastAsiaTheme="minorEastAsia"/>
          <w:szCs w:val="21"/>
          <w:highlight w:val="none"/>
        </w:rPr>
        <w:t>一份，金额为人民币（大写）</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rPr>
        <w:t>）。</w:t>
      </w:r>
    </w:p>
    <w:p w14:paraId="5DEF18E2">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我方承诺如果在规定的</w:t>
      </w:r>
      <w:r>
        <w:rPr>
          <w:rFonts w:hint="eastAsia" w:asciiTheme="minorEastAsia" w:hAnsiTheme="minorEastAsia" w:eastAsiaTheme="minorEastAsia"/>
          <w:szCs w:val="21"/>
          <w:highlight w:val="none"/>
          <w:lang w:val="en-US" w:eastAsia="zh-CN"/>
        </w:rPr>
        <w:t>响应文件提交截止时间</w:t>
      </w:r>
      <w:r>
        <w:rPr>
          <w:rFonts w:hint="eastAsia" w:asciiTheme="minorEastAsia" w:hAnsiTheme="minorEastAsia" w:eastAsiaTheme="minorEastAsia"/>
          <w:szCs w:val="21"/>
          <w:highlight w:val="none"/>
        </w:rPr>
        <w:t>后，在</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内撤销</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的，我方自愿接受</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做出的不予退还我方</w:t>
      </w:r>
      <w:r>
        <w:rPr>
          <w:rFonts w:hint="eastAsia" w:asciiTheme="minorEastAsia" w:hAnsiTheme="minorEastAsia" w:eastAsiaTheme="minorEastAsia"/>
          <w:szCs w:val="21"/>
          <w:highlight w:val="none"/>
          <w:lang w:eastAsia="zh-CN"/>
        </w:rPr>
        <w:t>响应保证金</w:t>
      </w:r>
      <w:r>
        <w:rPr>
          <w:rFonts w:hint="eastAsia" w:asciiTheme="minorEastAsia" w:hAnsiTheme="minorEastAsia" w:eastAsiaTheme="minorEastAsia"/>
          <w:szCs w:val="21"/>
          <w:highlight w:val="none"/>
        </w:rPr>
        <w:t>的决定。</w:t>
      </w:r>
    </w:p>
    <w:p w14:paraId="1F8F2958">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过程中根据</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委员会要求提供的符合相关规定的澄清文件，构成</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的组成部分。</w:t>
      </w:r>
    </w:p>
    <w:p w14:paraId="7306977F">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我方同意提供贵方可能要求的与</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有关的一切数据或者资料，并完全理解贵方不一定接受最低价的</w:t>
      </w:r>
      <w:r>
        <w:rPr>
          <w:rFonts w:hint="eastAsia" w:asciiTheme="minorEastAsia" w:hAnsiTheme="minorEastAsia" w:eastAsiaTheme="minorEastAsia"/>
          <w:szCs w:val="21"/>
          <w:highlight w:val="none"/>
          <w:lang w:val="en-US" w:eastAsia="zh-CN"/>
        </w:rPr>
        <w:t>响应</w:t>
      </w:r>
      <w:r>
        <w:rPr>
          <w:rFonts w:hint="eastAsia" w:asciiTheme="minorEastAsia" w:hAnsiTheme="minorEastAsia" w:eastAsiaTheme="minorEastAsia"/>
          <w:szCs w:val="21"/>
          <w:highlight w:val="none"/>
        </w:rPr>
        <w:t>。</w:t>
      </w:r>
    </w:p>
    <w:p w14:paraId="39659794">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我方承诺不向第三方透露与</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rPr>
        <w:t>相关的所有信息。</w:t>
      </w:r>
    </w:p>
    <w:p w14:paraId="009A661F">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我方承诺接受最新的《中国电信供应商不良行为管理规则》（</w:t>
      </w:r>
      <w:r>
        <w:rPr>
          <w:rFonts w:asciiTheme="minorEastAsia" w:hAnsiTheme="minorEastAsia" w:eastAsiaTheme="minorEastAsia"/>
          <w:szCs w:val="21"/>
          <w:highlight w:val="none"/>
        </w:rPr>
        <w:t>内容详见</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第七章）。本项承诺自本函签署之日起生效，长期有效，不受</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的约束，其效力独立存在，不可撤销。</w:t>
      </w:r>
    </w:p>
    <w:p w14:paraId="781D5613">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asciiTheme="minorEastAsia" w:hAnsiTheme="minorEastAsia" w:eastAsiaTheme="minorEastAsia"/>
          <w:szCs w:val="21"/>
          <w:highlight w:val="none"/>
        </w:rPr>
        <w:t>如</w:t>
      </w:r>
      <w:r>
        <w:rPr>
          <w:rFonts w:hint="eastAsia" w:asciiTheme="minorEastAsia" w:hAnsiTheme="minorEastAsia" w:eastAsiaTheme="minorEastAsia"/>
          <w:szCs w:val="21"/>
          <w:highlight w:val="none"/>
          <w:lang w:val="en-US" w:eastAsia="zh-CN"/>
        </w:rPr>
        <w:t>确定</w:t>
      </w:r>
      <w:r>
        <w:rPr>
          <w:rFonts w:asciiTheme="minorEastAsia" w:hAnsiTheme="minorEastAsia" w:eastAsiaTheme="minorEastAsia"/>
          <w:szCs w:val="21"/>
          <w:highlight w:val="none"/>
        </w:rPr>
        <w:t>我方</w:t>
      </w:r>
      <w:r>
        <w:rPr>
          <w:rFonts w:hint="eastAsia" w:asciiTheme="minorEastAsia" w:hAnsiTheme="minorEastAsia" w:eastAsiaTheme="minorEastAsia"/>
          <w:szCs w:val="21"/>
          <w:highlight w:val="none"/>
          <w:lang w:val="en-US" w:eastAsia="zh-CN"/>
        </w:rPr>
        <w:t>成交</w:t>
      </w:r>
      <w:r>
        <w:rPr>
          <w:rFonts w:asciiTheme="minorEastAsia" w:hAnsiTheme="minorEastAsia" w:eastAsiaTheme="minorEastAsia"/>
          <w:szCs w:val="21"/>
          <w:highlight w:val="none"/>
        </w:rPr>
        <w:t>：</w:t>
      </w:r>
    </w:p>
    <w:p w14:paraId="56B258CF">
      <w:pPr>
        <w:pStyle w:val="48"/>
        <w:numPr>
          <w:ilvl w:val="0"/>
          <w:numId w:val="13"/>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我方承诺在收到</w:t>
      </w:r>
      <w:r>
        <w:rPr>
          <w:rFonts w:hint="eastAsia" w:asciiTheme="minorEastAsia" w:hAnsiTheme="minorEastAsia" w:eastAsiaTheme="minorEastAsia"/>
          <w:szCs w:val="21"/>
          <w:highlight w:val="none"/>
          <w:lang w:eastAsia="zh-CN"/>
        </w:rPr>
        <w:t>成交通知书</w:t>
      </w:r>
      <w:r>
        <w:rPr>
          <w:rFonts w:asciiTheme="minorEastAsia" w:hAnsiTheme="minorEastAsia" w:eastAsiaTheme="minorEastAsia"/>
          <w:szCs w:val="21"/>
          <w:highlight w:val="none"/>
        </w:rPr>
        <w:t>后，在</w:t>
      </w:r>
      <w:r>
        <w:rPr>
          <w:rFonts w:hint="eastAsia" w:asciiTheme="minorEastAsia" w:hAnsiTheme="minorEastAsia" w:eastAsiaTheme="minorEastAsia"/>
          <w:szCs w:val="21"/>
          <w:highlight w:val="none"/>
          <w:lang w:eastAsia="zh-CN"/>
        </w:rPr>
        <w:t>成交通知书</w:t>
      </w:r>
      <w:r>
        <w:rPr>
          <w:rFonts w:asciiTheme="minorEastAsia" w:hAnsiTheme="minorEastAsia" w:eastAsiaTheme="minorEastAsia"/>
          <w:szCs w:val="21"/>
          <w:highlight w:val="none"/>
        </w:rPr>
        <w:t>规定的期限内与你方签订合同。</w:t>
      </w:r>
    </w:p>
    <w:p w14:paraId="196A7946">
      <w:pPr>
        <w:pStyle w:val="48"/>
        <w:numPr>
          <w:ilvl w:val="0"/>
          <w:numId w:val="13"/>
        </w:numPr>
        <w:tabs>
          <w:tab w:val="left" w:pos="993"/>
        </w:tabs>
        <w:spacing w:line="440" w:lineRule="exact"/>
        <w:ind w:firstLineChars="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我方承诺不在签订合同时提出任何附加条件。</w:t>
      </w:r>
    </w:p>
    <w:p w14:paraId="04C59BFE">
      <w:pPr>
        <w:pStyle w:val="48"/>
        <w:numPr>
          <w:ilvl w:val="0"/>
          <w:numId w:val="13"/>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我方承诺按照</w:t>
      </w:r>
      <w:r>
        <w:rPr>
          <w:rFonts w:hint="eastAsia" w:asciiTheme="minorEastAsia" w:hAnsiTheme="minorEastAsia" w:eastAsiaTheme="minorEastAsia"/>
          <w:szCs w:val="21"/>
          <w:highlight w:val="none"/>
          <w:lang w:eastAsia="zh-CN"/>
        </w:rPr>
        <w:t>询比文件</w:t>
      </w:r>
      <w:r>
        <w:rPr>
          <w:rFonts w:asciiTheme="minorEastAsia" w:hAnsiTheme="minorEastAsia" w:eastAsiaTheme="minorEastAsia"/>
          <w:szCs w:val="21"/>
          <w:highlight w:val="none"/>
        </w:rPr>
        <w:t>规定</w:t>
      </w:r>
      <w:r>
        <w:rPr>
          <w:rFonts w:hint="eastAsia" w:asciiTheme="minorEastAsia" w:hAnsiTheme="minorEastAsia" w:eastAsiaTheme="minorEastAsia"/>
          <w:szCs w:val="21"/>
          <w:highlight w:val="none"/>
          <w:lang w:eastAsia="zh-CN"/>
        </w:rPr>
        <w:t>递交</w:t>
      </w:r>
      <w:r>
        <w:rPr>
          <w:rFonts w:asciiTheme="minorEastAsia" w:hAnsiTheme="minorEastAsia" w:eastAsiaTheme="minorEastAsia"/>
          <w:szCs w:val="21"/>
          <w:highlight w:val="none"/>
        </w:rPr>
        <w:t>履约</w:t>
      </w:r>
      <w:r>
        <w:rPr>
          <w:rFonts w:hint="eastAsia" w:asciiTheme="minorEastAsia" w:hAnsiTheme="minorEastAsia" w:eastAsiaTheme="minorEastAsia"/>
          <w:szCs w:val="21"/>
          <w:highlight w:val="none"/>
        </w:rPr>
        <w:t>保证金或履约保函、支付</w:t>
      </w:r>
      <w:r>
        <w:rPr>
          <w:rFonts w:hint="eastAsia" w:asciiTheme="minorEastAsia" w:hAnsiTheme="minorEastAsia" w:eastAsiaTheme="minorEastAsia"/>
          <w:szCs w:val="21"/>
          <w:highlight w:val="none"/>
          <w:lang w:eastAsia="zh-CN"/>
        </w:rPr>
        <w:t>采购代理服务费</w:t>
      </w:r>
      <w:r>
        <w:rPr>
          <w:rFonts w:asciiTheme="minorEastAsia" w:hAnsiTheme="minorEastAsia" w:eastAsiaTheme="minorEastAsia"/>
          <w:szCs w:val="21"/>
          <w:highlight w:val="none"/>
        </w:rPr>
        <w:t>。</w:t>
      </w:r>
    </w:p>
    <w:p w14:paraId="48B96AE8">
      <w:pPr>
        <w:pStyle w:val="48"/>
        <w:numPr>
          <w:ilvl w:val="0"/>
          <w:numId w:val="13"/>
        </w:numPr>
        <w:tabs>
          <w:tab w:val="left" w:pos="993"/>
        </w:tabs>
        <w:spacing w:line="440" w:lineRule="exact"/>
        <w:ind w:left="0" w:firstLine="426" w:firstLineChars="0"/>
        <w:rPr>
          <w:rFonts w:asciiTheme="minorEastAsia" w:hAnsiTheme="minorEastAsia" w:eastAsiaTheme="minorEastAsia"/>
          <w:szCs w:val="21"/>
          <w:highlight w:val="none"/>
        </w:rPr>
      </w:pPr>
      <w:r>
        <w:rPr>
          <w:rFonts w:asciiTheme="minorEastAsia" w:hAnsiTheme="minorEastAsia" w:eastAsiaTheme="minorEastAsia"/>
          <w:szCs w:val="21"/>
          <w:highlight w:val="none"/>
        </w:rPr>
        <w:t>我方承诺</w:t>
      </w:r>
      <w:r>
        <w:rPr>
          <w:rFonts w:hint="eastAsia" w:asciiTheme="minorEastAsia" w:hAnsiTheme="minorEastAsia" w:eastAsiaTheme="minorEastAsia"/>
          <w:szCs w:val="21"/>
          <w:highlight w:val="none"/>
        </w:rPr>
        <w:t>按照</w:t>
      </w:r>
      <w:r>
        <w:rPr>
          <w:rFonts w:hint="eastAsia" w:asciiTheme="minorEastAsia" w:hAnsiTheme="minorEastAsia" w:eastAsiaTheme="minorEastAsia"/>
          <w:szCs w:val="21"/>
          <w:highlight w:val="none"/>
          <w:lang w:eastAsia="zh-CN"/>
        </w:rPr>
        <w:t>询比文件</w:t>
      </w:r>
      <w:r>
        <w:rPr>
          <w:rFonts w:hint="eastAsia" w:asciiTheme="minorEastAsia" w:hAnsiTheme="minorEastAsia" w:eastAsiaTheme="minorEastAsia"/>
          <w:szCs w:val="21"/>
          <w:highlight w:val="none"/>
        </w:rPr>
        <w:t>的规定及合同约定履行相关责任和义务，不将</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项目转包、违法分包。</w:t>
      </w:r>
    </w:p>
    <w:p w14:paraId="1DB0CAA7">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我方承诺如有外国投资者直接或者间接对本单位投资的，投资者或本单位已经按照《中华人民共和国外商投资法》（中华人民共和国主席令 第26号）和《外商投资安全审查办法》（发展改革委 商务部令 第37号）等相关法律法规主动向国家外商投资安全审查工作机制办公室申报，并被允许实施投资。</w:t>
      </w:r>
    </w:p>
    <w:p w14:paraId="219EA58E">
      <w:pPr>
        <w:spacing w:line="44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我方在此声明，所</w:t>
      </w:r>
      <w:r>
        <w:rPr>
          <w:rFonts w:hint="eastAsia" w:asciiTheme="minorEastAsia" w:hAnsiTheme="minorEastAsia" w:eastAsiaTheme="minorEastAsia"/>
          <w:szCs w:val="21"/>
          <w:highlight w:val="none"/>
          <w:lang w:val="en-US" w:eastAsia="zh-CN"/>
        </w:rPr>
        <w:t>提交</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及有关资料内容完整、真实和准确，且不存在第二章“</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须知”第1.8款规定的任何一种情形。</w:t>
      </w:r>
      <w:r>
        <w:rPr>
          <w:rFonts w:asciiTheme="minorEastAsia" w:hAnsiTheme="minorEastAsia" w:eastAsiaTheme="minorEastAsia"/>
          <w:szCs w:val="21"/>
          <w:highlight w:val="none"/>
        </w:rPr>
        <w:t>如有弄虚作假，将承担相应的法律责任，并赔偿由此造成的一切损失。</w:t>
      </w:r>
    </w:p>
    <w:p w14:paraId="28928CD9">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其他</w:t>
      </w:r>
      <w:r>
        <w:rPr>
          <w:rFonts w:asciiTheme="minorEastAsia" w:hAnsiTheme="minorEastAsia" w:eastAsiaTheme="minorEastAsia"/>
          <w:szCs w:val="21"/>
          <w:highlight w:val="none"/>
        </w:rPr>
        <w:t>补充说明</w:t>
      </w:r>
      <w:r>
        <w:rPr>
          <w:rFonts w:hint="eastAsia" w:asciiTheme="minorEastAsia" w:hAnsiTheme="minorEastAsia" w:eastAsiaTheme="minorEastAsia"/>
          <w:szCs w:val="21"/>
          <w:highlight w:val="none"/>
        </w:rPr>
        <w:t>：【我方承诺按照</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的要求在</w:t>
      </w:r>
      <w:r>
        <w:rPr>
          <w:highlight w:val="none"/>
        </w:rPr>
        <w:t>中国电信阳光采购网</w:t>
      </w:r>
      <w:r>
        <w:rPr>
          <w:rFonts w:hint="eastAsia" w:asciiTheme="minorEastAsia" w:hAnsiTheme="minorEastAsia" w:eastAsiaTheme="minorEastAsia"/>
          <w:szCs w:val="21"/>
          <w:highlight w:val="none"/>
        </w:rPr>
        <w:t>进行供应商注册。/</w:t>
      </w:r>
      <w:r>
        <w:rPr>
          <w:rFonts w:hint="eastAsia" w:asciiTheme="minorEastAsia" w:hAnsiTheme="minorEastAsia" w:eastAsiaTheme="minorEastAsia"/>
          <w:highlight w:val="none"/>
        </w:rPr>
        <w:t>无/具体的其他说明或要求</w:t>
      </w:r>
      <w:r>
        <w:rPr>
          <w:rFonts w:hint="eastAsia" w:asciiTheme="minorEastAsia" w:hAnsiTheme="minorEastAsia" w:eastAsiaTheme="minorEastAsia"/>
          <w:szCs w:val="21"/>
          <w:highlight w:val="none"/>
        </w:rPr>
        <w:t>】</w:t>
      </w:r>
    </w:p>
    <w:p w14:paraId="52CB88BA">
      <w:pPr>
        <w:pStyle w:val="48"/>
        <w:numPr>
          <w:ilvl w:val="3"/>
          <w:numId w:val="12"/>
        </w:numPr>
        <w:tabs>
          <w:tab w:val="left" w:pos="709"/>
        </w:tabs>
        <w:spacing w:line="440" w:lineRule="exact"/>
        <w:ind w:left="0"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响应有效期：120天</w:t>
      </w:r>
    </w:p>
    <w:p w14:paraId="096D5693">
      <w:pPr>
        <w:pStyle w:val="48"/>
        <w:tabs>
          <w:tab w:val="left" w:pos="709"/>
        </w:tabs>
        <w:spacing w:line="440" w:lineRule="exact"/>
        <w:ind w:left="424" w:firstLine="0" w:firstLineChars="0"/>
        <w:rPr>
          <w:rFonts w:asciiTheme="minorEastAsia" w:hAnsiTheme="minorEastAsia" w:eastAsiaTheme="minorEastAsia"/>
          <w:szCs w:val="21"/>
          <w:highlight w:val="none"/>
        </w:rPr>
      </w:pPr>
    </w:p>
    <w:p w14:paraId="1CA3412D">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w:t>
      </w:r>
    </w:p>
    <w:p w14:paraId="64CD47C3">
      <w:pPr>
        <w:spacing w:line="440" w:lineRule="exact"/>
        <w:ind w:firstLine="1134" w:firstLineChars="540"/>
        <w:rPr>
          <w:rFonts w:asciiTheme="minorEastAsia" w:hAnsiTheme="minorEastAsia" w:eastAsiaTheme="minorEastAsia"/>
          <w:szCs w:val="21"/>
          <w:highlight w:val="none"/>
          <w:u w:val="single"/>
        </w:rPr>
      </w:pPr>
      <w:r>
        <w:rPr>
          <w:rFonts w:asciiTheme="minorEastAsia" w:hAnsiTheme="minorEastAsia" w:eastAsiaTheme="minorEastAsia"/>
          <w:szCs w:val="21"/>
          <w:highlight w:val="none"/>
        </w:rPr>
        <w:t>地址：</w:t>
      </w:r>
      <w:r>
        <w:rPr>
          <w:rFonts w:asciiTheme="minorEastAsia" w:hAnsiTheme="minorEastAsia" w:eastAsiaTheme="minorEastAsia"/>
          <w:szCs w:val="21"/>
          <w:highlight w:val="none"/>
          <w:u w:val="single"/>
        </w:rPr>
        <w:t xml:space="preserve">                                     </w:t>
      </w:r>
    </w:p>
    <w:p w14:paraId="729EBF42">
      <w:pPr>
        <w:spacing w:line="440" w:lineRule="exact"/>
        <w:ind w:firstLine="1134" w:firstLineChars="540"/>
        <w:rPr>
          <w:rFonts w:asciiTheme="minorEastAsia" w:hAnsiTheme="minorEastAsia" w:eastAsiaTheme="minorEastAsia"/>
          <w:szCs w:val="21"/>
          <w:highlight w:val="none"/>
        </w:rPr>
      </w:pPr>
      <w:r>
        <w:rPr>
          <w:rFonts w:asciiTheme="minorEastAsia" w:hAnsiTheme="minorEastAsia" w:eastAsiaTheme="minorEastAsia"/>
          <w:szCs w:val="21"/>
          <w:highlight w:val="none"/>
        </w:rPr>
        <w:t>电话：</w:t>
      </w:r>
      <w:r>
        <w:rPr>
          <w:rFonts w:asciiTheme="minorEastAsia" w:hAnsiTheme="minorEastAsia" w:eastAsiaTheme="minorEastAsia"/>
          <w:szCs w:val="21"/>
          <w:highlight w:val="none"/>
          <w:u w:val="single"/>
        </w:rPr>
        <w:t xml:space="preserve">                                     </w:t>
      </w:r>
    </w:p>
    <w:p w14:paraId="413AF183">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电子邮箱</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p>
    <w:p w14:paraId="3C7FC8A4">
      <w:pPr>
        <w:spacing w:line="400" w:lineRule="exact"/>
        <w:ind w:firstLine="1134" w:firstLineChars="540"/>
        <w:rPr>
          <w:rFonts w:asciiTheme="minorEastAsia" w:hAnsiTheme="minorEastAsia" w:eastAsiaTheme="minorEastAsia"/>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73293810">
      <w:pPr>
        <w:ind w:firstLine="2835" w:firstLineChars="1350"/>
        <w:rPr>
          <w:rFonts w:asciiTheme="minorEastAsia" w:hAnsiTheme="minorEastAsia" w:eastAsiaTheme="minorEastAsia"/>
          <w:highlight w:val="none"/>
        </w:rPr>
      </w:pPr>
    </w:p>
    <w:p w14:paraId="640CD53C">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365E5ACA">
      <w:pPr>
        <w:numPr>
          <w:ilvl w:val="0"/>
          <w:numId w:val="4"/>
        </w:numPr>
        <w:topLinePunct/>
        <w:spacing w:line="440" w:lineRule="exact"/>
        <w:ind w:left="422" w:hanging="422" w:hangingChars="201"/>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5437F776">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02" w:name="_Toc492552993"/>
      <w:bookmarkEnd w:id="1702"/>
      <w:bookmarkStart w:id="1703" w:name="_Toc492552988"/>
      <w:bookmarkEnd w:id="1703"/>
      <w:bookmarkStart w:id="1704" w:name="_Toc492552999"/>
      <w:bookmarkEnd w:id="1704"/>
      <w:bookmarkStart w:id="1705" w:name="_Toc492552984"/>
      <w:bookmarkEnd w:id="1705"/>
      <w:bookmarkStart w:id="1706" w:name="_Toc492552992"/>
      <w:bookmarkEnd w:id="1706"/>
      <w:bookmarkStart w:id="1707" w:name="_Toc492552977"/>
      <w:bookmarkEnd w:id="1707"/>
      <w:bookmarkStart w:id="1708" w:name="_Toc492552983"/>
      <w:bookmarkEnd w:id="1708"/>
      <w:bookmarkStart w:id="1709" w:name="_Toc492552978"/>
      <w:bookmarkEnd w:id="1709"/>
      <w:bookmarkStart w:id="1710" w:name="_Toc492552974"/>
      <w:bookmarkEnd w:id="1710"/>
      <w:bookmarkStart w:id="1711" w:name="_Toc492552975"/>
      <w:bookmarkEnd w:id="1711"/>
      <w:bookmarkStart w:id="1712" w:name="_Toc492552985"/>
      <w:bookmarkEnd w:id="1712"/>
      <w:bookmarkStart w:id="1713" w:name="_Toc492552980"/>
      <w:bookmarkEnd w:id="1713"/>
      <w:bookmarkStart w:id="1714" w:name="_Toc492552986"/>
      <w:bookmarkEnd w:id="1714"/>
      <w:bookmarkStart w:id="1715" w:name="_Toc492552973"/>
      <w:bookmarkEnd w:id="1715"/>
      <w:bookmarkStart w:id="1716" w:name="_Toc492552998"/>
      <w:bookmarkEnd w:id="1716"/>
      <w:bookmarkStart w:id="1717" w:name="_Toc492552990"/>
      <w:bookmarkEnd w:id="1717"/>
      <w:bookmarkStart w:id="1718" w:name="_Toc492552979"/>
      <w:bookmarkEnd w:id="1718"/>
      <w:bookmarkStart w:id="1719" w:name="_Toc492552976"/>
      <w:bookmarkEnd w:id="1719"/>
      <w:bookmarkStart w:id="1720" w:name="_Toc492552991"/>
      <w:bookmarkEnd w:id="1720"/>
      <w:bookmarkStart w:id="1721" w:name="_Toc492552996"/>
      <w:bookmarkEnd w:id="1721"/>
      <w:bookmarkStart w:id="1722" w:name="_Toc492552989"/>
      <w:bookmarkEnd w:id="1722"/>
      <w:bookmarkStart w:id="1723" w:name="_Toc492552987"/>
      <w:bookmarkEnd w:id="1723"/>
      <w:bookmarkStart w:id="1724" w:name="_Toc492552994"/>
      <w:bookmarkEnd w:id="1724"/>
      <w:bookmarkStart w:id="1725" w:name="_Toc492552995"/>
      <w:bookmarkEnd w:id="1725"/>
      <w:bookmarkStart w:id="1726" w:name="_Toc492552982"/>
      <w:bookmarkEnd w:id="1726"/>
      <w:bookmarkStart w:id="1727" w:name="_Toc492552997"/>
      <w:bookmarkEnd w:id="1727"/>
      <w:bookmarkStart w:id="1728" w:name="_Toc492552981"/>
      <w:bookmarkEnd w:id="1728"/>
      <w:bookmarkStart w:id="1729" w:name="_Toc16364"/>
      <w:bookmarkStart w:id="1730" w:name="_Toc17816"/>
      <w:bookmarkStart w:id="1731" w:name="_Toc20117"/>
      <w:bookmarkStart w:id="1732" w:name="_Toc14337"/>
      <w:bookmarkStart w:id="1733" w:name="_Toc16192"/>
      <w:bookmarkStart w:id="1734" w:name="_Toc10457"/>
      <w:bookmarkStart w:id="1735" w:name="_Toc2043"/>
      <w:bookmarkStart w:id="1736" w:name="_Toc6742"/>
      <w:bookmarkStart w:id="1737" w:name="_Toc12561"/>
      <w:bookmarkStart w:id="1738" w:name="_Toc12382"/>
      <w:bookmarkStart w:id="1739" w:name="_Toc15072"/>
      <w:bookmarkStart w:id="1740" w:name="_Toc475472674"/>
      <w:bookmarkStart w:id="1741" w:name="_Toc6383"/>
      <w:bookmarkStart w:id="1742" w:name="_Toc1815"/>
      <w:r>
        <w:rPr>
          <w:rFonts w:hint="eastAsia" w:cs="Times New Roman" w:asciiTheme="minorEastAsia" w:hAnsiTheme="minorEastAsia" w:eastAsiaTheme="minorEastAsia"/>
          <w:b/>
          <w:bCs/>
          <w:kern w:val="2"/>
          <w:sz w:val="24"/>
          <w:szCs w:val="24"/>
          <w:lang w:val="en-US" w:eastAsia="zh-CN" w:bidi="ar-SA"/>
        </w:rPr>
        <w:t>6.</w:t>
      </w:r>
      <w:r>
        <w:rPr>
          <w:rFonts w:hint="eastAsia" w:asciiTheme="minorEastAsia" w:hAnsiTheme="minorEastAsia" w:eastAsiaTheme="minorEastAsia"/>
          <w:sz w:val="24"/>
          <w:szCs w:val="24"/>
          <w:highlight w:val="none"/>
        </w:rPr>
        <w:t>法定代表人/负责人身份证明</w:t>
      </w:r>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p w14:paraId="61671DE0">
      <w:pPr>
        <w:jc w:val="center"/>
        <w:rPr>
          <w:rFonts w:cs="宋体" w:asciiTheme="minorEastAsia" w:hAnsiTheme="minorEastAsia" w:eastAsiaTheme="minorEastAsia"/>
          <w:b/>
          <w:sz w:val="24"/>
          <w:highlight w:val="none"/>
        </w:rPr>
      </w:pPr>
    </w:p>
    <w:p w14:paraId="0995BC07">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法定代表人/负责人身份证明</w:t>
      </w:r>
    </w:p>
    <w:p w14:paraId="3D48D22E">
      <w:pPr>
        <w:spacing w:line="440" w:lineRule="exact"/>
        <w:rPr>
          <w:rFonts w:asciiTheme="minorEastAsia" w:hAnsiTheme="minorEastAsia" w:eastAsiaTheme="minorEastAsia"/>
          <w:szCs w:val="21"/>
          <w:highlight w:val="none"/>
        </w:rPr>
      </w:pPr>
    </w:p>
    <w:p w14:paraId="6CA6E5CC">
      <w:pPr>
        <w:topLinePunct/>
        <w:snapToGrid w:val="0"/>
        <w:spacing w:line="440" w:lineRule="exact"/>
        <w:rPr>
          <w:rFonts w:asciiTheme="minorEastAsia" w:hAnsiTheme="minorEastAsia" w:eastAsiaTheme="minorEastAsia"/>
          <w:bCs/>
          <w:szCs w:val="21"/>
          <w:highlight w:val="none"/>
          <w:u w:val="single"/>
        </w:rPr>
      </w:pPr>
      <w:r>
        <w:rPr>
          <w:rFonts w:hint="eastAsia" w:asciiTheme="minorEastAsia" w:hAnsiTheme="minorEastAsia" w:eastAsiaTheme="minorEastAsia"/>
          <w:bCs/>
          <w:szCs w:val="21"/>
          <w:highlight w:val="none"/>
          <w:lang w:eastAsia="zh-CN"/>
        </w:rPr>
        <w:t>供应商</w:t>
      </w:r>
      <w:r>
        <w:rPr>
          <w:rFonts w:asciiTheme="minorEastAsia" w:hAnsiTheme="minorEastAsia" w:eastAsiaTheme="minorEastAsia"/>
          <w:bCs/>
          <w:szCs w:val="21"/>
          <w:highlight w:val="none"/>
        </w:rPr>
        <w:t>名称：</w:t>
      </w:r>
      <w:r>
        <w:rPr>
          <w:rFonts w:asciiTheme="minorEastAsia" w:hAnsiTheme="minorEastAsia" w:eastAsiaTheme="minorEastAsia"/>
          <w:bCs/>
          <w:szCs w:val="21"/>
          <w:highlight w:val="none"/>
          <w:u w:val="single"/>
        </w:rPr>
        <w:t xml:space="preserve">                         </w:t>
      </w:r>
    </w:p>
    <w:p w14:paraId="19BC89CE">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单位性质：</w:t>
      </w:r>
      <w:r>
        <w:rPr>
          <w:rFonts w:asciiTheme="minorEastAsia" w:hAnsiTheme="minorEastAsia" w:eastAsiaTheme="minorEastAsia"/>
          <w:bCs/>
          <w:szCs w:val="21"/>
          <w:highlight w:val="none"/>
          <w:u w:val="single"/>
        </w:rPr>
        <w:t xml:space="preserve">                           </w:t>
      </w:r>
    </w:p>
    <w:p w14:paraId="5D672B48">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成立时间：</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月</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日</w:t>
      </w:r>
    </w:p>
    <w:p w14:paraId="01F76368">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经营期限：</w:t>
      </w:r>
      <w:r>
        <w:rPr>
          <w:rFonts w:asciiTheme="minorEastAsia" w:hAnsiTheme="minorEastAsia" w:eastAsiaTheme="minorEastAsia"/>
          <w:bCs/>
          <w:szCs w:val="21"/>
          <w:highlight w:val="none"/>
          <w:u w:val="single"/>
        </w:rPr>
        <w:t xml:space="preserve">            </w:t>
      </w:r>
    </w:p>
    <w:p w14:paraId="10057D30">
      <w:pPr>
        <w:topLinePunct/>
        <w:snapToGrid w:val="0"/>
        <w:spacing w:line="440" w:lineRule="exact"/>
        <w:rPr>
          <w:rFonts w:asciiTheme="minorEastAsia" w:hAnsiTheme="minorEastAsia" w:eastAsiaTheme="minorEastAsia"/>
          <w:bCs/>
          <w:szCs w:val="21"/>
          <w:highlight w:val="none"/>
          <w:u w:val="single"/>
        </w:rPr>
      </w:pPr>
      <w:r>
        <w:rPr>
          <w:rFonts w:asciiTheme="minorEastAsia" w:hAnsiTheme="minorEastAsia" w:eastAsiaTheme="minorEastAsia"/>
          <w:bCs/>
          <w:szCs w:val="21"/>
          <w:highlight w:val="none"/>
        </w:rPr>
        <w:t>姓名：</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性别：</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年龄：</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职务：</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u w:val="single"/>
        </w:rPr>
        <w:t xml:space="preserve"> </w:t>
      </w:r>
    </w:p>
    <w:p w14:paraId="63933F82">
      <w:pPr>
        <w:topLinePunct/>
        <w:snapToGrid w:val="0"/>
        <w:spacing w:line="440" w:lineRule="exact"/>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系</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单位</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w:t>
      </w:r>
      <w:r>
        <w:rPr>
          <w:rFonts w:hint="eastAsia" w:asciiTheme="minorEastAsia" w:hAnsiTheme="minorEastAsia" w:eastAsiaTheme="minorEastAsia"/>
          <w:bCs/>
          <w:szCs w:val="21"/>
          <w:highlight w:val="none"/>
        </w:rPr>
        <w:t>/负责人</w:t>
      </w:r>
      <w:r>
        <w:rPr>
          <w:rFonts w:asciiTheme="minorEastAsia" w:hAnsiTheme="minorEastAsia" w:eastAsiaTheme="minorEastAsia"/>
          <w:bCs/>
          <w:szCs w:val="21"/>
          <w:highlight w:val="none"/>
        </w:rPr>
        <w:t>。</w:t>
      </w:r>
    </w:p>
    <w:p w14:paraId="0F7B5042">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特此证明。</w:t>
      </w:r>
    </w:p>
    <w:p w14:paraId="0EF82A17">
      <w:pPr>
        <w:topLinePunct/>
        <w:snapToGrid w:val="0"/>
        <w:spacing w:line="440" w:lineRule="exact"/>
        <w:ind w:firstLine="420" w:firstLineChars="200"/>
        <w:rPr>
          <w:rFonts w:asciiTheme="minorEastAsia" w:hAnsiTheme="minorEastAsia" w:eastAsiaTheme="minorEastAsia"/>
          <w:bCs/>
          <w:szCs w:val="21"/>
          <w:highlight w:val="none"/>
        </w:rPr>
      </w:pPr>
    </w:p>
    <w:p w14:paraId="5CF6D509">
      <w:pPr>
        <w:topLinePunct/>
        <w:snapToGrid w:val="0"/>
        <w:spacing w:line="440" w:lineRule="exact"/>
        <w:rPr>
          <w:rFonts w:asciiTheme="minorEastAsia" w:hAnsiTheme="minorEastAsia" w:eastAsiaTheme="minorEastAsia"/>
          <w:highlight w:val="none"/>
        </w:rPr>
      </w:pPr>
      <w:r>
        <w:rPr>
          <w:rFonts w:asciiTheme="minorEastAsia" w:hAnsiTheme="minorEastAsia" w:eastAsiaTheme="minorEastAsia"/>
          <w:highlight w:val="none"/>
        </w:rPr>
        <w:t>附：法定代表人</w:t>
      </w:r>
      <w:r>
        <w:rPr>
          <w:rFonts w:hint="eastAsia" w:asciiTheme="minorEastAsia" w:hAnsiTheme="minorEastAsia" w:eastAsiaTheme="minorEastAsia"/>
          <w:highlight w:val="none"/>
        </w:rPr>
        <w:t>/负责人的合法有效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asciiTheme="minorEastAsia" w:hAnsiTheme="minorEastAsia" w:eastAsiaTheme="minorEastAsia"/>
          <w:highlight w:val="none"/>
        </w:rPr>
        <w:t>复印件</w:t>
      </w:r>
      <w:r>
        <w:rPr>
          <w:rFonts w:hint="eastAsia" w:asciiTheme="minorEastAsia" w:hAnsiTheme="minorEastAsia" w:eastAsiaTheme="minorEastAsia"/>
          <w:highlight w:val="none"/>
        </w:rPr>
        <w:t>或扫描件</w:t>
      </w:r>
      <w:r>
        <w:rPr>
          <w:rFonts w:hint="eastAsia" w:asciiTheme="minorEastAsia" w:hAnsiTheme="minorEastAsia" w:eastAsiaTheme="minorEastAsia"/>
          <w:bCs/>
          <w:szCs w:val="21"/>
          <w:highlight w:val="none"/>
        </w:rPr>
        <w:t>(如提供中华人民共和国居民身份证的，需同时提供国徽面及人像面)</w:t>
      </w:r>
    </w:p>
    <w:p w14:paraId="5A31615B">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0288" behindDoc="0" locked="0" layoutInCell="1" allowOverlap="1">
                <wp:simplePos x="0" y="0"/>
                <wp:positionH relativeFrom="column">
                  <wp:posOffset>2645410</wp:posOffset>
                </wp:positionH>
                <wp:positionV relativeFrom="paragraph">
                  <wp:posOffset>238760</wp:posOffset>
                </wp:positionV>
                <wp:extent cx="3297555" cy="2113915"/>
                <wp:effectExtent l="4445" t="4445" r="12700" b="15240"/>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2E84C9B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1A3B6C4E">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18.8pt;height:166.45pt;width:259.65pt;z-index:251660288;mso-width-relative:page;mso-height-relative:page;" fillcolor="#FFFFFF" filled="t" stroked="t" coordsize="21600,21600" o:gfxdata="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AAiX42AAAAAoBAAAPAAAAAAAAAAEAIAAAACIAAABkcnMvZG93bnJldi54bWxQSwEC&#10;FAAUAAAACACHTuJAdSHJumYCAACxBAAADgAAAAAAAAABACAAAAAnAQAAZHJzL2Uyb0RvYy54bWxQ&#10;SwUGAAAAAAYABgBZAQAA/wUAAAAA&#10;">
                <v:fill on="t" focussize="0,0"/>
                <v:stroke color="#000000" miterlimit="8" joinstyle="miter"/>
                <v:imagedata o:title=""/>
                <o:lock v:ext="edit" aspectratio="f"/>
                <v:textbox>
                  <w:txbxContent>
                    <w:p w14:paraId="2E84C9B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1A3B6C4E">
                      <w:pPr>
                        <w:jc w:val="center"/>
                        <w:rPr>
                          <w:szCs w:val="21"/>
                        </w:rPr>
                      </w:pP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59264" behindDoc="0" locked="0" layoutInCell="1" allowOverlap="1">
                <wp:simplePos x="0" y="0"/>
                <wp:positionH relativeFrom="column">
                  <wp:posOffset>-652145</wp:posOffset>
                </wp:positionH>
                <wp:positionV relativeFrom="paragraph">
                  <wp:posOffset>238760</wp:posOffset>
                </wp:positionV>
                <wp:extent cx="3297555" cy="2113915"/>
                <wp:effectExtent l="4445" t="4445" r="12700" b="15240"/>
                <wp:wrapNone/>
                <wp:docPr id="9" name="流程图: 可选过程 9"/>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64E3B61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FA0DFAC">
                            <w:pPr>
                              <w:jc w:val="center"/>
                              <w:rPr>
                                <w:szCs w:val="21"/>
                              </w:rPr>
                            </w:pP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18.8pt;height:166.45pt;width:259.65pt;z-index:251659264;mso-width-relative:page;mso-height-relative:page;" fillcolor="#FFFFFF" filled="t" stroked="t" coordsize="21600,21600" o:gfxdata="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iAglc2QAAAAsBAAAPAAAAAAAAAAEAIAAAACIAAABkcnMvZG93bnJldi54bWxQSwEC&#10;FAAUAAAACACHTuJA/WYXO2UCAACvBAAADgAAAAAAAAABACAAAAAoAQAAZHJzL2Uyb0RvYy54bWxQ&#10;SwUGAAAAAAYABgBZAQAA/wUAAAAA&#10;">
                <v:fill on="t" focussize="0,0"/>
                <v:stroke color="#000000" miterlimit="8" joinstyle="miter"/>
                <v:imagedata o:title=""/>
                <o:lock v:ext="edit" aspectratio="f"/>
                <v:textbox>
                  <w:txbxContent>
                    <w:p w14:paraId="64E3B61B">
                      <w:pPr>
                        <w:jc w:val="center"/>
                        <w:rPr>
                          <w:rFonts w:asciiTheme="minorEastAsia" w:hAnsiTheme="minorEastAsia" w:eastAsiaTheme="minorEastAsia"/>
                          <w:bCs/>
                          <w:szCs w:val="21"/>
                        </w:rPr>
                      </w:pPr>
                      <w:r>
                        <w:rPr>
                          <w:rFonts w:hint="eastAsia"/>
                          <w:szCs w:val="21"/>
                        </w:rPr>
                        <w:t>法定代表人的</w:t>
                      </w:r>
                      <w:r>
                        <w:rPr>
                          <w:rFonts w:hint="eastAsia" w:asciiTheme="minorEastAsia" w:hAnsiTheme="minorEastAsia" w:eastAsiaTheme="minorEastAsia"/>
                        </w:rPr>
                        <w:t>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p>
                    <w:p w14:paraId="2FA0DFAC">
                      <w:pPr>
                        <w:jc w:val="center"/>
                        <w:rPr>
                          <w:szCs w:val="21"/>
                        </w:rPr>
                      </w:pPr>
                      <w:r>
                        <w:rPr>
                          <w:rFonts w:hint="eastAsia"/>
                          <w:szCs w:val="21"/>
                        </w:rPr>
                        <w:t>粘贴处</w:t>
                      </w:r>
                    </w:p>
                  </w:txbxContent>
                </v:textbox>
              </v:shape>
            </w:pict>
          </mc:Fallback>
        </mc:AlternateContent>
      </w:r>
    </w:p>
    <w:p w14:paraId="16BC8316">
      <w:pPr>
        <w:spacing w:line="500" w:lineRule="exact"/>
        <w:rPr>
          <w:rFonts w:asciiTheme="minorEastAsia" w:hAnsiTheme="minorEastAsia" w:eastAsiaTheme="minorEastAsia"/>
          <w:szCs w:val="21"/>
          <w:highlight w:val="none"/>
        </w:rPr>
      </w:pPr>
    </w:p>
    <w:p w14:paraId="7A53221E">
      <w:pPr>
        <w:spacing w:line="440" w:lineRule="exact"/>
        <w:rPr>
          <w:rFonts w:asciiTheme="minorEastAsia" w:hAnsiTheme="minorEastAsia" w:eastAsiaTheme="minorEastAsia"/>
          <w:szCs w:val="21"/>
          <w:highlight w:val="none"/>
        </w:rPr>
      </w:pPr>
    </w:p>
    <w:p w14:paraId="428B9A18">
      <w:pPr>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w:t>
      </w:r>
    </w:p>
    <w:p w14:paraId="1CB4E23F">
      <w:pPr>
        <w:spacing w:line="500" w:lineRule="exact"/>
        <w:rPr>
          <w:rFonts w:asciiTheme="minorEastAsia" w:hAnsiTheme="minorEastAsia" w:eastAsiaTheme="minorEastAsia"/>
          <w:szCs w:val="21"/>
          <w:highlight w:val="none"/>
        </w:rPr>
      </w:pPr>
    </w:p>
    <w:p w14:paraId="5565C374">
      <w:pPr>
        <w:spacing w:line="440" w:lineRule="exact"/>
        <w:rPr>
          <w:rFonts w:asciiTheme="minorEastAsia" w:hAnsiTheme="minorEastAsia" w:eastAsiaTheme="minorEastAsia"/>
          <w:szCs w:val="21"/>
          <w:highlight w:val="none"/>
        </w:rPr>
      </w:pPr>
    </w:p>
    <w:p w14:paraId="449A6A29">
      <w:pPr>
        <w:spacing w:line="500" w:lineRule="exact"/>
        <w:rPr>
          <w:rFonts w:asciiTheme="minorEastAsia" w:hAnsiTheme="minorEastAsia" w:eastAsiaTheme="minorEastAsia"/>
          <w:szCs w:val="21"/>
          <w:highlight w:val="none"/>
        </w:rPr>
      </w:pPr>
    </w:p>
    <w:p w14:paraId="5A574FD2">
      <w:pPr>
        <w:spacing w:line="440" w:lineRule="exact"/>
        <w:rPr>
          <w:rFonts w:asciiTheme="minorEastAsia" w:hAnsiTheme="minorEastAsia" w:eastAsiaTheme="minorEastAsia"/>
          <w:szCs w:val="21"/>
          <w:highlight w:val="none"/>
        </w:rPr>
      </w:pPr>
    </w:p>
    <w:p w14:paraId="129FD53B">
      <w:pPr>
        <w:spacing w:line="44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w:t xml:space="preserve">                          </w:t>
      </w:r>
    </w:p>
    <w:p w14:paraId="765D850B">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623949AC">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21177A3B">
      <w:pPr>
        <w:rPr>
          <w:highlight w:val="none"/>
        </w:rPr>
      </w:pPr>
    </w:p>
    <w:p w14:paraId="1288CA30">
      <w:pPr>
        <w:rPr>
          <w:highlight w:val="none"/>
        </w:rPr>
      </w:pPr>
    </w:p>
    <w:p w14:paraId="55B863CD">
      <w:pPr>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p>
    <w:p w14:paraId="7FF5DE50">
      <w:pPr>
        <w:rPr>
          <w:rFonts w:hint="eastAsia" w:cs="Times New Roman" w:asciiTheme="minorEastAsia" w:hAnsiTheme="minorEastAsia" w:eastAsiaTheme="minorEastAsia"/>
          <w:b/>
          <w:bCs/>
          <w:kern w:val="2"/>
          <w:sz w:val="24"/>
          <w:szCs w:val="24"/>
          <w:lang w:val="en-US" w:eastAsia="zh-CN" w:bidi="ar-SA"/>
        </w:rPr>
      </w:pPr>
      <w:r>
        <w:rPr>
          <w:rFonts w:hint="eastAsia" w:cs="Times New Roman" w:asciiTheme="minorEastAsia" w:hAnsiTheme="minorEastAsia" w:eastAsiaTheme="minorEastAsia"/>
          <w:b/>
          <w:bCs/>
          <w:kern w:val="2"/>
          <w:sz w:val="24"/>
          <w:szCs w:val="24"/>
          <w:lang w:val="en-US" w:eastAsia="zh-CN" w:bidi="ar-SA"/>
        </w:rPr>
        <w:br w:type="page"/>
      </w:r>
    </w:p>
    <w:p w14:paraId="06619CCA">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both"/>
        <w:textAlignment w:val="auto"/>
        <w:outlineLvl w:val="1"/>
        <w:rPr>
          <w:rFonts w:hint="eastAsia" w:asciiTheme="minorEastAsia" w:hAnsiTheme="minorEastAsia" w:eastAsiaTheme="minorEastAsia"/>
          <w:sz w:val="24"/>
          <w:szCs w:val="24"/>
          <w:highlight w:val="none"/>
        </w:rPr>
      </w:pPr>
      <w:bookmarkStart w:id="1743" w:name="_Toc31036"/>
      <w:bookmarkStart w:id="1744" w:name="_Toc24500"/>
      <w:bookmarkStart w:id="1745" w:name="_Toc22438"/>
      <w:bookmarkStart w:id="1746" w:name="_Toc16850"/>
      <w:bookmarkStart w:id="1747" w:name="_Toc5833"/>
      <w:bookmarkStart w:id="1748" w:name="_Toc1045"/>
      <w:bookmarkStart w:id="1749" w:name="_Toc2556"/>
      <w:bookmarkStart w:id="1750" w:name="_Toc31403"/>
      <w:bookmarkStart w:id="1751" w:name="_Toc4660"/>
      <w:bookmarkStart w:id="1752" w:name="_Toc21231"/>
      <w:r>
        <w:rPr>
          <w:rFonts w:hint="eastAsia" w:cs="Times New Roman" w:asciiTheme="minorEastAsia" w:hAnsiTheme="minorEastAsia" w:eastAsiaTheme="minorEastAsia"/>
          <w:b/>
          <w:bCs/>
          <w:kern w:val="2"/>
          <w:sz w:val="24"/>
          <w:szCs w:val="24"/>
          <w:lang w:val="en-US" w:eastAsia="zh-CN" w:bidi="ar-SA"/>
        </w:rPr>
        <w:t>7.</w:t>
      </w:r>
      <w:bookmarkStart w:id="1753" w:name="_Toc438052122"/>
      <w:bookmarkStart w:id="1754" w:name="_Toc475472675"/>
      <w:bookmarkStart w:id="1755" w:name="_Toc15843"/>
      <w:bookmarkStart w:id="1756" w:name="_Toc9463"/>
      <w:bookmarkStart w:id="1757" w:name="_Toc16125"/>
      <w:r>
        <w:rPr>
          <w:rFonts w:hint="eastAsia" w:asciiTheme="minorEastAsia" w:hAnsiTheme="minorEastAsia" w:eastAsiaTheme="minorEastAsia"/>
          <w:sz w:val="24"/>
          <w:szCs w:val="24"/>
          <w:highlight w:val="none"/>
        </w:rPr>
        <w:t>法定代表人/负责人授权委托书</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p>
    <w:p w14:paraId="1271A16C">
      <w:pPr>
        <w:jc w:val="center"/>
        <w:rPr>
          <w:rFonts w:cs="宋体" w:asciiTheme="minorEastAsia" w:hAnsiTheme="minorEastAsia" w:eastAsiaTheme="minorEastAsia"/>
          <w:b/>
          <w:sz w:val="24"/>
          <w:highlight w:val="none"/>
        </w:rPr>
      </w:pPr>
      <w:r>
        <w:rPr>
          <w:rFonts w:hint="eastAsia" w:cs="宋体" w:asciiTheme="minorEastAsia" w:hAnsiTheme="minorEastAsia" w:eastAsiaTheme="minorEastAsia"/>
          <w:b/>
          <w:sz w:val="24"/>
          <w:highlight w:val="none"/>
        </w:rPr>
        <w:t>法定代表人/负责人授权委托书</w:t>
      </w:r>
    </w:p>
    <w:p w14:paraId="18AF22E5">
      <w:pPr>
        <w:jc w:val="center"/>
        <w:rPr>
          <w:rFonts w:cs="宋体" w:asciiTheme="minorEastAsia" w:hAnsiTheme="minorEastAsia" w:eastAsiaTheme="minorEastAsia"/>
          <w:b/>
          <w:sz w:val="24"/>
          <w:highlight w:val="none"/>
        </w:rPr>
      </w:pPr>
    </w:p>
    <w:p w14:paraId="63B92DC9">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本人</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系 </w:t>
      </w:r>
      <w:r>
        <w:rPr>
          <w:rFonts w:hint="eastAsia" w:asciiTheme="minorEastAsia" w:hAnsiTheme="minorEastAsia" w:eastAsiaTheme="minorEastAsia"/>
          <w:highlight w:val="none"/>
          <w:u w:val="single"/>
        </w:rPr>
        <w:t>【XX公司</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供应商</w:t>
      </w:r>
      <w:r>
        <w:rPr>
          <w:rFonts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的法定代表人，现委托</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[委托代理人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为我方代理人。代理人根据授权，以我方名义</w:t>
      </w:r>
      <w:r>
        <w:rPr>
          <w:rFonts w:hint="eastAsia" w:asciiTheme="minorEastAsia" w:hAnsiTheme="minorEastAsia" w:eastAsiaTheme="minorEastAsia"/>
          <w:bCs/>
          <w:szCs w:val="21"/>
          <w:highlight w:val="none"/>
        </w:rPr>
        <w:t>全权处理</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w:t>
      </w:r>
      <w:r>
        <w:rPr>
          <w:rFonts w:hint="eastAsia" w:asciiTheme="minorEastAsia" w:hAnsiTheme="minorEastAsia" w:eastAsiaTheme="minorEastAsia"/>
          <w:bCs/>
          <w:szCs w:val="21"/>
          <w:highlight w:val="none"/>
          <w:u w:val="single"/>
          <w:lang w:eastAsia="zh-CN"/>
        </w:rPr>
        <w:t>询比项目</w:t>
      </w:r>
      <w:r>
        <w:rPr>
          <w:rFonts w:asciiTheme="minorEastAsia" w:hAnsiTheme="minorEastAsia" w:eastAsiaTheme="minorEastAsia"/>
          <w:bCs/>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u w:val="single"/>
        </w:rPr>
        <w:t>签署、澄清</w:t>
      </w:r>
      <w:r>
        <w:rPr>
          <w:rFonts w:hint="eastAsia" w:asciiTheme="minorEastAsia" w:hAnsiTheme="minorEastAsia" w:eastAsiaTheme="minorEastAsia"/>
          <w:bCs/>
          <w:szCs w:val="21"/>
          <w:highlight w:val="none"/>
          <w:u w:val="single"/>
        </w:rPr>
        <w:t>、说明、补正</w:t>
      </w:r>
      <w:r>
        <w:rPr>
          <w:rFonts w:asciiTheme="minorEastAsia" w:hAnsiTheme="minorEastAsia" w:eastAsiaTheme="minorEastAsia"/>
          <w:bCs/>
          <w:szCs w:val="21"/>
          <w:highlight w:val="none"/>
          <w:u w:val="single"/>
        </w:rPr>
        <w:t>、</w:t>
      </w:r>
      <w:r>
        <w:rPr>
          <w:rFonts w:hint="eastAsia" w:asciiTheme="minorEastAsia" w:hAnsiTheme="minorEastAsia" w:eastAsiaTheme="minorEastAsia"/>
          <w:bCs/>
          <w:szCs w:val="21"/>
          <w:highlight w:val="none"/>
          <w:u w:val="single"/>
          <w:lang w:eastAsia="zh-CN"/>
        </w:rPr>
        <w:t>提交</w:t>
      </w:r>
      <w:r>
        <w:rPr>
          <w:rFonts w:asciiTheme="minorEastAsia" w:hAnsiTheme="minorEastAsia" w:eastAsiaTheme="minorEastAsia"/>
          <w:bCs/>
          <w:szCs w:val="21"/>
          <w:highlight w:val="none"/>
          <w:u w:val="single"/>
        </w:rPr>
        <w:t>、撤回、修改</w:t>
      </w:r>
      <w:r>
        <w:rPr>
          <w:rFonts w:hint="eastAsia" w:asciiTheme="minorEastAsia" w:hAnsiTheme="minorEastAsia" w:eastAsiaTheme="minorEastAsia"/>
          <w:bCs/>
          <w:szCs w:val="21"/>
          <w:highlight w:val="none"/>
          <w:u w:val="single"/>
          <w:lang w:eastAsia="zh-CN"/>
        </w:rPr>
        <w:t>响应文件</w:t>
      </w:r>
      <w:r>
        <w:rPr>
          <w:rFonts w:hint="eastAsia" w:asciiTheme="minorEastAsia" w:hAnsiTheme="minorEastAsia" w:eastAsiaTheme="minorEastAsia"/>
          <w:bCs/>
          <w:szCs w:val="21"/>
          <w:highlight w:val="none"/>
          <w:u w:val="single"/>
        </w:rPr>
        <w:t>，</w:t>
      </w:r>
      <w:r>
        <w:rPr>
          <w:rFonts w:asciiTheme="minorEastAsia" w:hAnsiTheme="minorEastAsia" w:eastAsiaTheme="minorEastAsia"/>
          <w:bCs/>
          <w:szCs w:val="21"/>
          <w:highlight w:val="none"/>
          <w:u w:val="single"/>
        </w:rPr>
        <w:t>签订合同和处理</w:t>
      </w:r>
      <w:r>
        <w:rPr>
          <w:rFonts w:hint="eastAsia" w:asciiTheme="minorEastAsia" w:hAnsiTheme="minorEastAsia" w:eastAsiaTheme="minorEastAsia"/>
          <w:bCs/>
          <w:szCs w:val="21"/>
          <w:highlight w:val="none"/>
          <w:u w:val="single"/>
        </w:rPr>
        <w:t>一切</w:t>
      </w:r>
      <w:r>
        <w:rPr>
          <w:rFonts w:asciiTheme="minorEastAsia" w:hAnsiTheme="minorEastAsia" w:eastAsiaTheme="minorEastAsia"/>
          <w:bCs/>
          <w:szCs w:val="21"/>
          <w:highlight w:val="none"/>
          <w:u w:val="single"/>
        </w:rPr>
        <w:t>有关事宜</w:t>
      </w:r>
      <w:r>
        <w:rPr>
          <w:rFonts w:hint="eastAsia" w:asciiTheme="minorEastAsia" w:hAnsiTheme="minorEastAsia" w:eastAsiaTheme="minorEastAsia"/>
          <w:highlight w:val="none"/>
          <w:u w:val="single"/>
        </w:rPr>
        <w:t>】</w:t>
      </w:r>
      <w:r>
        <w:rPr>
          <w:rFonts w:asciiTheme="minorEastAsia" w:hAnsiTheme="minorEastAsia" w:eastAsiaTheme="minorEastAsia"/>
          <w:bCs/>
          <w:szCs w:val="21"/>
          <w:highlight w:val="none"/>
        </w:rPr>
        <w:t xml:space="preserve">，其法律后果由我方承担。 </w:t>
      </w:r>
    </w:p>
    <w:p w14:paraId="4F5B8AAF">
      <w:pPr>
        <w:topLinePunct/>
        <w:snapToGrid w:val="0"/>
        <w:spacing w:line="440" w:lineRule="exact"/>
        <w:ind w:firstLine="420" w:firstLineChars="20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委托期限：</w:t>
      </w:r>
      <w:r>
        <w:rPr>
          <w:rFonts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w:t>
      </w:r>
    </w:p>
    <w:p w14:paraId="5998AD80">
      <w:pPr>
        <w:topLinePunct/>
        <w:snapToGrid w:val="0"/>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w:t>
      </w:r>
      <w:r>
        <w:rPr>
          <w:rFonts w:asciiTheme="minorEastAsia" w:hAnsiTheme="minorEastAsia" w:eastAsiaTheme="minorEastAsia"/>
          <w:bCs/>
          <w:szCs w:val="21"/>
          <w:highlight w:val="none"/>
        </w:rPr>
        <w:t>代理人无转委托权。</w:t>
      </w:r>
    </w:p>
    <w:p w14:paraId="1544A87E">
      <w:pPr>
        <w:spacing w:line="440" w:lineRule="exact"/>
        <w:ind w:firstLine="420" w:firstLineChars="20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附：</w:t>
      </w:r>
    </w:p>
    <w:p w14:paraId="2B8C5DFB">
      <w:pPr>
        <w:pStyle w:val="48"/>
        <w:numPr>
          <w:ilvl w:val="0"/>
          <w:numId w:val="0"/>
        </w:numPr>
        <w:spacing w:line="440" w:lineRule="exact"/>
        <w:ind w:left="780" w:leftChars="0" w:hanging="360" w:firstLineChars="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w:t>
      </w:r>
      <w:r>
        <w:rPr>
          <w:rFonts w:hint="eastAsia" w:asciiTheme="minorEastAsia" w:hAnsiTheme="minorEastAsia" w:eastAsiaTheme="minorEastAsia"/>
          <w:highlight w:val="none"/>
        </w:rPr>
        <w:t>的合法有效</w:t>
      </w:r>
      <w:r>
        <w:rPr>
          <w:rFonts w:asciiTheme="minorEastAsia" w:hAnsiTheme="minorEastAsia" w:eastAsiaTheme="minorEastAsia"/>
          <w:highlight w:val="none"/>
        </w:rPr>
        <w:t>身份证</w:t>
      </w:r>
      <w:r>
        <w:rPr>
          <w:rFonts w:hint="eastAsia" w:asciiTheme="minorEastAsia" w:hAnsiTheme="minorEastAsia" w:eastAsiaTheme="minorEastAsia"/>
          <w:highlight w:val="none"/>
        </w:rPr>
        <w:t>明</w:t>
      </w:r>
      <w:r>
        <w:rPr>
          <w:rFonts w:hint="eastAsia" w:asciiTheme="minorEastAsia" w:hAnsiTheme="minorEastAsia" w:eastAsiaTheme="minorEastAsia"/>
          <w:bCs/>
          <w:szCs w:val="21"/>
          <w:highlight w:val="none"/>
        </w:rPr>
        <w:t>复印件或扫描件(如提供中华人民共和国居民身份证的，需同时提供国徽面及人像面)</w:t>
      </w:r>
    </w:p>
    <w:p w14:paraId="56A51EE3">
      <w:pPr>
        <w:topLinePunct/>
        <w:snapToGrid w:val="0"/>
        <w:spacing w:line="440" w:lineRule="exact"/>
        <w:ind w:firstLine="420" w:firstLineChars="200"/>
        <w:jc w:val="righ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 xml:space="preserve"> </w:t>
      </w:r>
    </w:p>
    <w:p w14:paraId="6C4D0C2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0CD71455">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
    <w:p w14:paraId="33EA5831">
      <w:pPr>
        <w:topLinePunct/>
        <w:snapToGrid w:val="0"/>
        <w:spacing w:line="440" w:lineRule="exact"/>
        <w:ind w:firstLine="1134" w:firstLineChars="540"/>
        <w:rPr>
          <w:rFonts w:asciiTheme="minorEastAsia" w:hAnsiTheme="minorEastAsia" w:eastAsiaTheme="minorEastAsia"/>
          <w:bCs/>
          <w:szCs w:val="21"/>
          <w:highlight w:val="none"/>
        </w:rPr>
      </w:pPr>
      <w:r>
        <w:rPr>
          <w:rFonts w:asciiTheme="minorEastAsia" w:hAnsiTheme="minorEastAsia" w:eastAsiaTheme="minorEastAsia"/>
          <w:bCs/>
          <w:szCs w:val="21"/>
          <w:highlight w:val="none"/>
        </w:rPr>
        <w:t>委托代理人：</w:t>
      </w:r>
      <w:r>
        <w:rPr>
          <w:rFonts w:asciiTheme="minorEastAsia" w:hAnsiTheme="minorEastAsia" w:eastAsiaTheme="minorEastAsia"/>
          <w:bCs/>
          <w:szCs w:val="21"/>
          <w:highlight w:val="none"/>
          <w:u w:val="single"/>
        </w:rPr>
        <w:t xml:space="preserve">                              </w:t>
      </w:r>
      <w:r>
        <w:rPr>
          <w:rFonts w:asciiTheme="minorEastAsia" w:hAnsiTheme="minorEastAsia" w:eastAsiaTheme="minorEastAsia"/>
          <w:bCs/>
          <w:szCs w:val="21"/>
          <w:highlight w:val="none"/>
        </w:rPr>
        <w:t xml:space="preserve">（签字） </w:t>
      </w:r>
    </w:p>
    <w:p w14:paraId="05A33B52">
      <w:pPr>
        <w:topLinePunct/>
        <w:snapToGrid w:val="0"/>
        <w:spacing w:line="440" w:lineRule="exact"/>
        <w:ind w:firstLine="1134" w:firstLineChars="54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委托代理人上级领导：</w:t>
      </w:r>
      <w:r>
        <w:rPr>
          <w:rFonts w:hint="eastAsia" w:asciiTheme="minorEastAsia" w:hAnsiTheme="minorEastAsia" w:eastAsiaTheme="minorEastAsia"/>
          <w:bCs/>
          <w:szCs w:val="21"/>
          <w:highlight w:val="none"/>
          <w:u w:val="single"/>
        </w:rPr>
        <w:t xml:space="preserve">                    </w:t>
      </w:r>
      <w:r>
        <w:rPr>
          <w:rFonts w:hint="eastAsia" w:asciiTheme="minorEastAsia" w:hAnsiTheme="minorEastAsia" w:eastAsiaTheme="minorEastAsia"/>
          <w:bCs/>
          <w:szCs w:val="21"/>
          <w:highlight w:val="none"/>
        </w:rPr>
        <w:t>（姓名）</w:t>
      </w:r>
    </w:p>
    <w:p w14:paraId="4621F51B">
      <w:pPr>
        <w:topLinePunct/>
        <w:snapToGrid w:val="0"/>
        <w:spacing w:line="440" w:lineRule="exact"/>
        <w:ind w:firstLine="1134" w:firstLineChars="540"/>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联系方式（手机）：</w:t>
      </w:r>
      <w:r>
        <w:rPr>
          <w:rFonts w:hint="eastAsia" w:asciiTheme="minorEastAsia" w:hAnsiTheme="minorEastAsia" w:eastAsiaTheme="minorEastAsia"/>
          <w:bCs/>
          <w:szCs w:val="21"/>
          <w:highlight w:val="none"/>
          <w:u w:val="single"/>
        </w:rPr>
        <w:t xml:space="preserve">                     </w:t>
      </w:r>
    </w:p>
    <w:p w14:paraId="25E5EA9F">
      <w:pPr>
        <w:topLinePunct/>
        <w:snapToGrid w:val="0"/>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5209E3B6">
      <w:pPr>
        <w:topLinePunct/>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3BFCE681">
      <w:pPr>
        <w:spacing w:line="500" w:lineRule="exact"/>
        <w:rPr>
          <w:rFonts w:asciiTheme="minorEastAsia" w:hAnsiTheme="minorEastAsia" w:eastAsiaTheme="minorEastAsia"/>
          <w:szCs w:val="21"/>
          <w:highlight w:val="none"/>
        </w:rPr>
      </w:pPr>
      <w:r>
        <w:rPr>
          <w:rFonts w:asciiTheme="minorEastAsia" w:hAnsiTheme="minorEastAsia" w:eastAsiaTheme="minorEastAsia"/>
          <w:szCs w:val="21"/>
          <w:highlight w:val="none"/>
        </w:rPr>
        <mc:AlternateContent>
          <mc:Choice Requires="wps">
            <w:drawing>
              <wp:anchor distT="0" distB="0" distL="114300" distR="114300" simplePos="0" relativeHeight="251662336" behindDoc="0" locked="0" layoutInCell="1" allowOverlap="1">
                <wp:simplePos x="0" y="0"/>
                <wp:positionH relativeFrom="column">
                  <wp:posOffset>2645410</wp:posOffset>
                </wp:positionH>
                <wp:positionV relativeFrom="paragraph">
                  <wp:posOffset>107315</wp:posOffset>
                </wp:positionV>
                <wp:extent cx="3297555" cy="2113915"/>
                <wp:effectExtent l="4445" t="4445" r="12700" b="15240"/>
                <wp:wrapNone/>
                <wp:docPr id="8" name="流程图: 可选过程 8"/>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A596571">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8.3pt;margin-top:8.45pt;height:166.45pt;width:259.65pt;z-index:251662336;mso-width-relative:page;mso-height-relative:page;" fillcolor="#FFFFFF" filled="t" stroked="t" coordsize="21600,21600" o:gfxdata="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OitNcAAAAKAQAADwAAAAAAAAABACAAAAAiAAAAZHJzL2Rvd25yZXYueG1sUEsBAhQA&#10;FAAAAAgAh07iQAmz+UllAgAArwQAAA4AAAAAAAAAAQAgAAAAJgEAAGRycy9lMm9Eb2MueG1sUEsF&#10;BgAAAAAGAAYAWQEAAP0FAAAAAA==&#10;">
                <v:fill on="t" focussize="0,0"/>
                <v:stroke color="#000000" miterlimit="8" joinstyle="miter"/>
                <v:imagedata o:title=""/>
                <o:lock v:ext="edit" aspectratio="f"/>
                <v:textbox>
                  <w:txbxContent>
                    <w:p w14:paraId="7A596571">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r>
        <w:rPr>
          <w:rFonts w:asciiTheme="minorEastAsia" w:hAnsiTheme="minorEastAsia" w:eastAsiaTheme="minorEastAsia"/>
          <w:szCs w:val="21"/>
          <w:highlight w:val="none"/>
        </w:rPr>
        <mc:AlternateContent>
          <mc:Choice Requires="wps">
            <w:drawing>
              <wp:anchor distT="0" distB="0" distL="114300" distR="114300" simplePos="0" relativeHeight="251661312" behindDoc="0" locked="0" layoutInCell="1" allowOverlap="1">
                <wp:simplePos x="0" y="0"/>
                <wp:positionH relativeFrom="column">
                  <wp:posOffset>-652145</wp:posOffset>
                </wp:positionH>
                <wp:positionV relativeFrom="paragraph">
                  <wp:posOffset>107315</wp:posOffset>
                </wp:positionV>
                <wp:extent cx="3297555" cy="2113915"/>
                <wp:effectExtent l="4445" t="4445" r="12700" b="1524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14:paraId="7068DE4F">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51.35pt;margin-top:8.45pt;height:166.45pt;width:259.65pt;z-index:251661312;mso-width-relative:page;mso-height-relative:page;" fillcolor="#FFFFFF" filled="t" stroked="t" coordsize="21600,21600" o:gfxdata="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b044Q2QAAAAsBAAAPAAAAAAAAAAEAIAAAACIAAABkcnMvZG93bnJldi54bWxQSwEC&#10;FAAUAAAACACHTuJApj+U72UCAACvBAAADgAAAAAAAAABACAAAAAoAQAAZHJzL2Uyb0RvYy54bWxQ&#10;SwUGAAAAAAYABgBZAQAA/wUAAAAA&#10;">
                <v:fill on="t" focussize="0,0"/>
                <v:stroke color="#000000" miterlimit="8" joinstyle="miter"/>
                <v:imagedata o:title=""/>
                <o:lock v:ext="edit" aspectratio="f"/>
                <v:textbox>
                  <w:txbxContent>
                    <w:p w14:paraId="7068DE4F">
                      <w:pPr>
                        <w:jc w:val="center"/>
                        <w:rPr>
                          <w:szCs w:val="21"/>
                        </w:rPr>
                      </w:pPr>
                      <w:r>
                        <w:rPr>
                          <w:rFonts w:hint="eastAsia"/>
                          <w:szCs w:val="21"/>
                        </w:rPr>
                        <w:t>委托代理人</w:t>
                      </w:r>
                      <w:r>
                        <w:rPr>
                          <w:rFonts w:hint="eastAsia" w:asciiTheme="minorEastAsia" w:hAnsiTheme="minorEastAsia" w:eastAsiaTheme="minorEastAsia"/>
                        </w:rPr>
                        <w:t>的合法有效</w:t>
                      </w:r>
                      <w:r>
                        <w:rPr>
                          <w:rFonts w:asciiTheme="minorEastAsia" w:hAnsiTheme="minorEastAsia" w:eastAsiaTheme="minorEastAsia"/>
                        </w:rPr>
                        <w:t>身份证</w:t>
                      </w:r>
                      <w:r>
                        <w:rPr>
                          <w:rFonts w:hint="eastAsia" w:asciiTheme="minorEastAsia" w:hAnsiTheme="minorEastAsia" w:eastAsiaTheme="minorEastAsia"/>
                        </w:rPr>
                        <w:t>明</w:t>
                      </w:r>
                      <w:r>
                        <w:rPr>
                          <w:rFonts w:hint="eastAsia" w:asciiTheme="minorEastAsia" w:hAnsiTheme="minorEastAsia" w:eastAsiaTheme="minorEastAsia"/>
                          <w:bCs/>
                          <w:szCs w:val="21"/>
                        </w:rPr>
                        <w:t>复印件或扫描件</w:t>
                      </w:r>
                      <w:r>
                        <w:rPr>
                          <w:rFonts w:hint="eastAsia"/>
                          <w:szCs w:val="21"/>
                        </w:rPr>
                        <w:t>粘贴处</w:t>
                      </w:r>
                    </w:p>
                  </w:txbxContent>
                </v:textbox>
              </v:shape>
            </w:pict>
          </mc:Fallback>
        </mc:AlternateContent>
      </w:r>
    </w:p>
    <w:p w14:paraId="2A9C8FC3">
      <w:pPr>
        <w:spacing w:line="440" w:lineRule="exact"/>
        <w:rPr>
          <w:rFonts w:asciiTheme="minorEastAsia" w:hAnsiTheme="minorEastAsia" w:eastAsiaTheme="minorEastAsia"/>
          <w:szCs w:val="21"/>
          <w:highlight w:val="none"/>
        </w:rPr>
      </w:pPr>
    </w:p>
    <w:p w14:paraId="0AF3E8C1">
      <w:pPr>
        <w:topLinePunct/>
        <w:snapToGrid w:val="0"/>
        <w:spacing w:line="440" w:lineRule="exact"/>
        <w:rPr>
          <w:rFonts w:asciiTheme="minorEastAsia" w:hAnsiTheme="minorEastAsia" w:eastAsiaTheme="minorEastAsia"/>
          <w:highlight w:val="none"/>
        </w:rPr>
      </w:pPr>
    </w:p>
    <w:p w14:paraId="14BD7DBD">
      <w:pPr>
        <w:topLinePunct/>
        <w:snapToGrid w:val="0"/>
        <w:spacing w:line="440" w:lineRule="exact"/>
        <w:ind w:firstLine="420" w:firstLineChars="200"/>
        <w:rPr>
          <w:rFonts w:asciiTheme="minorEastAsia" w:hAnsiTheme="minorEastAsia" w:eastAsiaTheme="minorEastAsia"/>
          <w:bCs/>
          <w:szCs w:val="21"/>
          <w:highlight w:val="none"/>
        </w:rPr>
      </w:pPr>
    </w:p>
    <w:p w14:paraId="59A1B67D">
      <w:pPr>
        <w:topLinePunct/>
        <w:spacing w:line="440" w:lineRule="exact"/>
        <w:jc w:val="left"/>
        <w:rPr>
          <w:rFonts w:asciiTheme="minorEastAsia" w:hAnsiTheme="minorEastAsia" w:eastAsiaTheme="minorEastAsia"/>
          <w:highlight w:val="none"/>
        </w:rPr>
        <w:sectPr>
          <w:pgSz w:w="11906" w:h="16838"/>
          <w:pgMar w:top="1440" w:right="1800" w:bottom="1440" w:left="1800" w:header="851" w:footer="992" w:gutter="0"/>
          <w:pgNumType w:fmt="decimal"/>
          <w:cols w:space="425" w:num="1"/>
          <w:docGrid w:type="lines" w:linePitch="312" w:charSpace="0"/>
        </w:sectPr>
      </w:pPr>
    </w:p>
    <w:p w14:paraId="496D32D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758" w:name="_Toc475294115"/>
      <w:bookmarkStart w:id="1759" w:name="_Toc23817"/>
      <w:bookmarkStart w:id="1760" w:name="_Toc19215"/>
      <w:bookmarkStart w:id="1761" w:name="_Toc19941"/>
      <w:bookmarkStart w:id="1762" w:name="_Toc933"/>
      <w:bookmarkStart w:id="1763" w:name="_Toc6239"/>
      <w:bookmarkStart w:id="1764" w:name="_Toc1496"/>
      <w:bookmarkStart w:id="1765" w:name="_Toc475472677"/>
      <w:bookmarkStart w:id="1766" w:name="_Toc22871"/>
      <w:bookmarkStart w:id="1767" w:name="_Toc8982"/>
      <w:bookmarkStart w:id="1768" w:name="_Toc20768"/>
      <w:bookmarkStart w:id="1769" w:name="_Toc8268"/>
      <w:bookmarkStart w:id="1770" w:name="_Toc23250"/>
      <w:bookmarkStart w:id="1771" w:name="_Toc14153"/>
      <w:bookmarkStart w:id="1772" w:name="_Toc11998"/>
      <w:r>
        <w:rPr>
          <w:rFonts w:hint="eastAsia" w:cs="Times New Roman" w:asciiTheme="minorEastAsia" w:hAnsiTheme="minorEastAsia" w:eastAsiaTheme="minorEastAsia"/>
          <w:b/>
          <w:bCs/>
          <w:kern w:val="2"/>
          <w:sz w:val="24"/>
          <w:szCs w:val="24"/>
          <w:lang w:val="en-US" w:eastAsia="zh-CN" w:bidi="ar-SA"/>
        </w:rPr>
        <w:t>8.</w:t>
      </w:r>
      <w:r>
        <w:rPr>
          <w:rFonts w:hint="eastAsia" w:asciiTheme="minorEastAsia" w:hAnsiTheme="minorEastAsia" w:eastAsiaTheme="minorEastAsia"/>
          <w:sz w:val="24"/>
          <w:szCs w:val="24"/>
          <w:highlight w:val="none"/>
        </w:rPr>
        <w:t>廉洁</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承诺书</w:t>
      </w:r>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p>
    <w:p w14:paraId="2CF01F8B">
      <w:pPr>
        <w:topLinePunct/>
        <w:spacing w:line="440" w:lineRule="exact"/>
        <w:jc w:val="center"/>
        <w:rPr>
          <w:rFonts w:asciiTheme="minorEastAsia" w:hAnsiTheme="minorEastAsia" w:eastAsiaTheme="minorEastAsia"/>
          <w:b/>
          <w:highlight w:val="none"/>
        </w:rPr>
      </w:pPr>
      <w:r>
        <w:rPr>
          <w:rFonts w:hint="eastAsia" w:asciiTheme="minorEastAsia" w:hAnsiTheme="minorEastAsia" w:eastAsiaTheme="minorEastAsia"/>
          <w:b/>
          <w:sz w:val="24"/>
          <w:highlight w:val="none"/>
        </w:rPr>
        <w:t>廉洁</w:t>
      </w:r>
      <w:r>
        <w:rPr>
          <w:rFonts w:hint="eastAsia" w:asciiTheme="minorEastAsia" w:hAnsiTheme="minorEastAsia" w:eastAsiaTheme="minorEastAsia"/>
          <w:b/>
          <w:sz w:val="24"/>
          <w:highlight w:val="none"/>
          <w:lang w:eastAsia="zh-CN"/>
        </w:rPr>
        <w:t>响应</w:t>
      </w:r>
      <w:r>
        <w:rPr>
          <w:rFonts w:hint="eastAsia" w:asciiTheme="minorEastAsia" w:hAnsiTheme="minorEastAsia" w:eastAsiaTheme="minorEastAsia"/>
          <w:b/>
          <w:sz w:val="24"/>
          <w:highlight w:val="none"/>
        </w:rPr>
        <w:t>承诺书</w:t>
      </w:r>
    </w:p>
    <w:p w14:paraId="1872D52A">
      <w:pPr>
        <w:topLinePunct/>
        <w:snapToGrid w:val="0"/>
        <w:spacing w:line="400" w:lineRule="exact"/>
        <w:rPr>
          <w:rFonts w:asciiTheme="minorEastAsia" w:hAnsiTheme="minorEastAsia" w:eastAsiaTheme="minorEastAsia"/>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highlight w:val="none"/>
        </w:rPr>
        <w:t>XX公司[</w:t>
      </w:r>
      <w:r>
        <w:rPr>
          <w:rFonts w:hint="eastAsia" w:asciiTheme="minorEastAsia" w:hAnsiTheme="minorEastAsia" w:eastAsiaTheme="minorEastAsia"/>
          <w:highlight w:val="none"/>
          <w:lang w:eastAsia="zh-CN"/>
        </w:rPr>
        <w:t>采购人</w:t>
      </w:r>
      <w:r>
        <w:rPr>
          <w:rFonts w:hint="eastAsia" w:asciiTheme="minorEastAsia" w:hAnsiTheme="minorEastAsia" w:eastAsiaTheme="minorEastAsia"/>
          <w:highlight w:val="none"/>
        </w:rPr>
        <w:t>名称]</w:t>
      </w:r>
      <w:r>
        <w:rPr>
          <w:rFonts w:hint="eastAsia" w:asciiTheme="minorEastAsia" w:hAnsiTheme="minorEastAsia" w:eastAsiaTheme="minorEastAsia"/>
          <w:szCs w:val="21"/>
          <w:highlight w:val="none"/>
        </w:rPr>
        <w:t>】</w:t>
      </w:r>
      <w:r>
        <w:rPr>
          <w:rFonts w:hint="eastAsia" w:asciiTheme="minorEastAsia" w:hAnsiTheme="minorEastAsia" w:eastAsiaTheme="minorEastAsia"/>
          <w:highlight w:val="none"/>
        </w:rPr>
        <w:t>：</w:t>
      </w:r>
    </w:p>
    <w:p w14:paraId="7AF1A96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我公司自愿参加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项目[项目名称]</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，为保证</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活动公开、公平、公正，依据国家法律法规和廉洁从业相关规定，现承诺如下：</w:t>
      </w:r>
    </w:p>
    <w:p w14:paraId="22A1E2CB">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宋体" w:hAnsi="宋体"/>
          <w:szCs w:val="21"/>
          <w:highlight w:val="none"/>
        </w:rPr>
        <w:t>不通过受让、租借或者挂靠资质</w:t>
      </w:r>
      <w:r>
        <w:rPr>
          <w:rFonts w:hint="eastAsia" w:ascii="宋体" w:hAnsi="宋体"/>
          <w:szCs w:val="21"/>
          <w:highlight w:val="none"/>
          <w:lang w:val="en-US" w:eastAsia="zh-CN"/>
        </w:rPr>
        <w:t>参加询比</w:t>
      </w:r>
      <w:r>
        <w:rPr>
          <w:rFonts w:hint="eastAsia" w:ascii="宋体" w:hAnsi="宋体"/>
          <w:szCs w:val="21"/>
          <w:highlight w:val="none"/>
          <w:lang w:eastAsia="zh-CN"/>
        </w:rPr>
        <w:t>响应</w:t>
      </w:r>
      <w:r>
        <w:rPr>
          <w:rFonts w:hint="eastAsia" w:ascii="宋体" w:hAnsi="宋体"/>
          <w:szCs w:val="21"/>
          <w:highlight w:val="none"/>
        </w:rPr>
        <w:t>，或者以其他方式以他人名义</w:t>
      </w:r>
      <w:r>
        <w:rPr>
          <w:rFonts w:hint="eastAsia" w:ascii="宋体" w:hAnsi="宋体"/>
          <w:szCs w:val="21"/>
          <w:highlight w:val="none"/>
          <w:lang w:eastAsia="zh-CN"/>
        </w:rPr>
        <w:t>响应</w:t>
      </w:r>
      <w:r>
        <w:rPr>
          <w:rFonts w:hint="eastAsia" w:ascii="宋体" w:hAnsi="宋体"/>
          <w:szCs w:val="21"/>
          <w:highlight w:val="none"/>
        </w:rPr>
        <w:t>；不伪造、变造资质、资格证书或者其他许可证件，提供虚假业绩、奖项、项目负责人等材料</w:t>
      </w:r>
      <w:r>
        <w:rPr>
          <w:rFonts w:hint="eastAsia" w:ascii="宋体" w:hAnsi="宋体"/>
          <w:szCs w:val="21"/>
          <w:highlight w:val="none"/>
          <w:lang w:val="en-US" w:eastAsia="zh-CN"/>
        </w:rPr>
        <w:t>参加询比</w:t>
      </w:r>
      <w:r>
        <w:rPr>
          <w:rFonts w:hint="eastAsia" w:ascii="宋体" w:hAnsi="宋体"/>
          <w:szCs w:val="21"/>
          <w:highlight w:val="none"/>
          <w:lang w:eastAsia="zh-CN"/>
        </w:rPr>
        <w:t>响应</w:t>
      </w:r>
      <w:r>
        <w:rPr>
          <w:rFonts w:hint="eastAsia" w:ascii="宋体" w:hAnsi="宋体"/>
          <w:szCs w:val="21"/>
          <w:highlight w:val="none"/>
        </w:rPr>
        <w:t>，</w:t>
      </w:r>
      <w:r>
        <w:rPr>
          <w:rFonts w:hint="eastAsia" w:asciiTheme="minorEastAsia" w:hAnsiTheme="minorEastAsia" w:eastAsiaTheme="minorEastAsia"/>
          <w:szCs w:val="21"/>
          <w:highlight w:val="none"/>
        </w:rPr>
        <w:t>或者以其他方式弄虚作假，骗取</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w:t>
      </w:r>
    </w:p>
    <w:p w14:paraId="3F251789">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相互串通</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或订立攻守同盟；</w:t>
      </w:r>
    </w:p>
    <w:p w14:paraId="400EE4A2">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不与</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或</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串通</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w:t>
      </w:r>
    </w:p>
    <w:p w14:paraId="43C9DB00">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不向</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w:t>
      </w:r>
      <w:r>
        <w:rPr>
          <w:rFonts w:hint="eastAsia" w:ascii="宋体" w:hAnsi="宋体"/>
          <w:szCs w:val="21"/>
          <w:highlight w:val="none"/>
        </w:rPr>
        <w:t>交易平台运行服务机构、</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w:t>
      </w:r>
      <w:r>
        <w:rPr>
          <w:rFonts w:hint="eastAsia" w:ascii="宋体" w:hAnsi="宋体"/>
          <w:szCs w:val="21"/>
          <w:highlight w:val="none"/>
        </w:rPr>
        <w:t>或行政监督部门人员等</w:t>
      </w:r>
      <w:r>
        <w:rPr>
          <w:rFonts w:hint="eastAsia" w:asciiTheme="minorEastAsia" w:hAnsiTheme="minorEastAsia" w:eastAsiaTheme="minorEastAsia"/>
          <w:szCs w:val="21"/>
          <w:highlight w:val="none"/>
        </w:rPr>
        <w:t>行贿</w:t>
      </w:r>
      <w:r>
        <w:rPr>
          <w:rFonts w:hint="eastAsia" w:ascii="宋体" w:hAnsi="宋体"/>
          <w:szCs w:val="21"/>
          <w:highlight w:val="none"/>
        </w:rPr>
        <w:t>谋取</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，包括提供现金(礼金)、礼券、礼品、购物卡、有价证券等财物，或娱乐、宴请、旅游等活动，或支付应由其个人承担的学费、餐费、医药费等各种费用等；</w:t>
      </w:r>
    </w:p>
    <w:p w14:paraId="7304FC5A">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不通过非正常渠道探听采购过程中应当保密的信息，包括(潜在)</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的数量与名称、</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委员会成员名单和联系方式、其他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情况及</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推荐意见等；</w:t>
      </w:r>
    </w:p>
    <w:p w14:paraId="4BF3F900">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不私下接触</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eastAsia="zh-CN"/>
        </w:rPr>
        <w:t>采购代理机构</w:t>
      </w:r>
      <w:r>
        <w:rPr>
          <w:rFonts w:hint="eastAsia" w:asciiTheme="minorEastAsia" w:hAnsiTheme="minorEastAsia" w:eastAsiaTheme="minorEastAsia"/>
          <w:szCs w:val="21"/>
          <w:highlight w:val="none"/>
        </w:rPr>
        <w:t>或</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委员会成员，利用人际关系干扰</w:t>
      </w:r>
      <w:r>
        <w:rPr>
          <w:rFonts w:hint="eastAsia" w:asciiTheme="minorEastAsia" w:hAnsiTheme="minorEastAsia" w:eastAsiaTheme="minorEastAsia"/>
          <w:szCs w:val="21"/>
          <w:highlight w:val="none"/>
          <w:lang w:eastAsia="zh-CN"/>
        </w:rPr>
        <w:t>询比询比活动</w:t>
      </w:r>
      <w:r>
        <w:rPr>
          <w:rFonts w:hint="eastAsia" w:asciiTheme="minorEastAsia" w:hAnsiTheme="minorEastAsia" w:eastAsiaTheme="minorEastAsia"/>
          <w:szCs w:val="21"/>
          <w:highlight w:val="none"/>
        </w:rPr>
        <w:t>；</w:t>
      </w:r>
    </w:p>
    <w:p w14:paraId="7291E35E">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不在办公场所、</w:t>
      </w:r>
      <w:r>
        <w:rPr>
          <w:rFonts w:hint="eastAsia" w:asciiTheme="minorEastAsia" w:hAnsiTheme="minorEastAsia" w:eastAsiaTheme="minorEastAsia"/>
          <w:szCs w:val="21"/>
          <w:highlight w:val="none"/>
          <w:lang w:val="en-US" w:eastAsia="zh-CN"/>
        </w:rPr>
        <w:t>响应文件开启和评审</w:t>
      </w:r>
      <w:r>
        <w:rPr>
          <w:rFonts w:hint="eastAsia" w:asciiTheme="minorEastAsia" w:hAnsiTheme="minorEastAsia" w:eastAsiaTheme="minorEastAsia"/>
          <w:szCs w:val="21"/>
          <w:highlight w:val="none"/>
        </w:rPr>
        <w:t>现场寻衅滋事、无理取闹或以其他手段非法干预、影响</w:t>
      </w:r>
      <w:r>
        <w:rPr>
          <w:rFonts w:hint="eastAsia" w:asciiTheme="minorEastAsia" w:hAnsiTheme="minorEastAsia" w:eastAsiaTheme="minorEastAsia"/>
          <w:szCs w:val="21"/>
          <w:highlight w:val="none"/>
          <w:lang w:eastAsia="zh-CN"/>
        </w:rPr>
        <w:t>询比</w:t>
      </w:r>
      <w:r>
        <w:rPr>
          <w:rFonts w:hint="eastAsia" w:asciiTheme="minorEastAsia" w:hAnsiTheme="minorEastAsia" w:eastAsiaTheme="minorEastAsia"/>
          <w:szCs w:val="21"/>
          <w:highlight w:val="none"/>
        </w:rPr>
        <w:t>的过程和结果；</w:t>
      </w:r>
    </w:p>
    <w:p w14:paraId="2B4398DB">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不捏造事实、伪造材料，或以非法取得的材料进行恶意</w:t>
      </w:r>
      <w:r>
        <w:rPr>
          <w:rFonts w:hint="eastAsia" w:ascii="宋体" w:hAnsi="宋体"/>
          <w:szCs w:val="21"/>
          <w:highlight w:val="none"/>
        </w:rPr>
        <w:t>提出异议、</w:t>
      </w:r>
      <w:r>
        <w:rPr>
          <w:rFonts w:hint="eastAsia" w:asciiTheme="minorEastAsia" w:hAnsiTheme="minorEastAsia" w:eastAsiaTheme="minorEastAsia"/>
          <w:szCs w:val="21"/>
          <w:highlight w:val="none"/>
        </w:rPr>
        <w:t>投诉</w:t>
      </w:r>
      <w:r>
        <w:rPr>
          <w:rFonts w:hint="eastAsia" w:ascii="宋体" w:hAnsi="宋体"/>
          <w:szCs w:val="21"/>
          <w:highlight w:val="none"/>
        </w:rPr>
        <w:t>或举报，干扰正常</w:t>
      </w:r>
      <w:r>
        <w:rPr>
          <w:rFonts w:hint="eastAsia" w:ascii="宋体" w:hAnsi="宋体"/>
          <w:szCs w:val="21"/>
          <w:highlight w:val="none"/>
          <w:lang w:val="en-US" w:eastAsia="zh-CN"/>
        </w:rPr>
        <w:t>询比采购</w:t>
      </w:r>
      <w:r>
        <w:rPr>
          <w:rFonts w:hint="eastAsia" w:ascii="宋体" w:hAnsi="宋体"/>
          <w:szCs w:val="21"/>
          <w:highlight w:val="none"/>
        </w:rPr>
        <w:t>活动</w:t>
      </w:r>
      <w:r>
        <w:rPr>
          <w:rFonts w:hint="eastAsia" w:asciiTheme="minorEastAsia" w:hAnsiTheme="minorEastAsia" w:eastAsiaTheme="minorEastAsia"/>
          <w:szCs w:val="21"/>
          <w:highlight w:val="none"/>
        </w:rPr>
        <w:t>；不毫无根据地散播不实消息，诋毁他人名誉，主观臆断反映问题与诉求；</w:t>
      </w:r>
    </w:p>
    <w:p w14:paraId="36E82577">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不以低于成本的报价</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w:t>
      </w:r>
    </w:p>
    <w:p w14:paraId="1B65BE91">
      <w:pPr>
        <w:numPr>
          <w:ilvl w:val="0"/>
          <w:numId w:val="14"/>
        </w:numPr>
        <w:tabs>
          <w:tab w:val="left" w:pos="709"/>
        </w:tabs>
        <w:topLinePunct/>
        <w:snapToGrid w:val="0"/>
        <w:spacing w:line="400" w:lineRule="exact"/>
        <w:ind w:left="0" w:firstLine="42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不以其他方式排挤其他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的公平竞争；</w:t>
      </w:r>
    </w:p>
    <w:p w14:paraId="61099078">
      <w:pPr>
        <w:numPr>
          <w:ilvl w:val="0"/>
          <w:numId w:val="14"/>
        </w:numPr>
        <w:tabs>
          <w:tab w:val="left" w:pos="709"/>
        </w:tabs>
        <w:topLinePunct/>
        <w:spacing w:line="440" w:lineRule="exact"/>
        <w:ind w:left="0" w:firstLine="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Theme="minorEastAsia" w:hAnsiTheme="minorEastAsia" w:eastAsiaTheme="minorEastAsia"/>
          <w:szCs w:val="21"/>
          <w:highlight w:val="none"/>
        </w:rPr>
        <w:t>在最近五年内，不存在与采购活动相关的行贿犯罪记录；</w:t>
      </w:r>
    </w:p>
    <w:p w14:paraId="1CB8E3FE">
      <w:pPr>
        <w:numPr>
          <w:ilvl w:val="0"/>
          <w:numId w:val="14"/>
        </w:numPr>
        <w:tabs>
          <w:tab w:val="left" w:pos="709"/>
        </w:tabs>
        <w:topLinePunct/>
        <w:spacing w:line="440" w:lineRule="exact"/>
        <w:ind w:left="840" w:hanging="420"/>
        <w:rPr>
          <w:rFonts w:asciiTheme="minorEastAsia" w:hAnsiTheme="minorEastAsia" w:eastAsiaTheme="minor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发现评审专家有违法行为的，及时向行政监督部门报告。</w:t>
      </w:r>
    </w:p>
    <w:p w14:paraId="7EEFF7D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如发生任何违反本承诺的行为，除按法律法规接受处罚外，</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有权否决我方本次</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、宣布</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无效、暂停甚至取消我方参加</w:t>
      </w:r>
      <w:r>
        <w:rPr>
          <w:rFonts w:hint="eastAsia" w:asciiTheme="minorEastAsia" w:hAnsiTheme="minorEastAsia" w:eastAsiaTheme="minorEastAsia"/>
          <w:szCs w:val="21"/>
          <w:highlight w:val="none"/>
          <w:lang w:eastAsia="zh-CN"/>
        </w:rPr>
        <w:t>采购人</w:t>
      </w:r>
      <w:r>
        <w:rPr>
          <w:rFonts w:hint="eastAsia" w:asciiTheme="minorEastAsia" w:hAnsiTheme="minorEastAsia" w:eastAsiaTheme="minorEastAsia"/>
          <w:szCs w:val="21"/>
          <w:highlight w:val="none"/>
        </w:rPr>
        <w:t>后续</w:t>
      </w:r>
      <w:r>
        <w:rPr>
          <w:rFonts w:hint="eastAsia" w:asciiTheme="minorEastAsia" w:hAnsiTheme="minorEastAsia" w:eastAsiaTheme="minorEastAsia"/>
          <w:szCs w:val="21"/>
          <w:highlight w:val="none"/>
          <w:lang w:eastAsia="zh-CN"/>
        </w:rPr>
        <w:t>询比项目</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资格等。</w:t>
      </w:r>
    </w:p>
    <w:p w14:paraId="0BB4F944">
      <w:pPr>
        <w:topLinePunct/>
        <w:spacing w:line="440" w:lineRule="exact"/>
        <w:ind w:left="420"/>
        <w:rPr>
          <w:rFonts w:asciiTheme="minorEastAsia" w:hAnsiTheme="minorEastAsia" w:eastAsiaTheme="minorEastAsia"/>
          <w:szCs w:val="21"/>
          <w:highlight w:val="none"/>
        </w:rPr>
      </w:pPr>
    </w:p>
    <w:p w14:paraId="08017917">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31473ABB">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r>
        <w:rPr>
          <w:rFonts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rPr>
        <w:t xml:space="preserve"> </w:t>
      </w:r>
    </w:p>
    <w:p w14:paraId="4D9F133C">
      <w:pPr>
        <w:spacing w:line="440" w:lineRule="exact"/>
        <w:ind w:firstLine="1134" w:firstLineChars="540"/>
        <w:rPr>
          <w:rFonts w:asciiTheme="minorEastAsia" w:hAnsiTheme="minorEastAsia" w:eastAsiaTheme="minorEastAsia"/>
          <w:b/>
          <w:highlight w:val="none"/>
        </w:rPr>
      </w:pPr>
      <w:r>
        <w:rPr>
          <w:rFonts w:hint="eastAsia" w:asciiTheme="minorEastAsia" w:hAnsiTheme="minorEastAsia" w:eastAsiaTheme="minorEastAsia"/>
          <w:szCs w:val="21"/>
          <w:highlight w:val="none"/>
        </w:rPr>
        <w:t>日期：</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年</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月</w:t>
      </w:r>
      <w:r>
        <w:rPr>
          <w:rFonts w:hint="eastAsia" w:asciiTheme="minorEastAsia" w:hAnsiTheme="minorEastAsia" w:eastAsiaTheme="minorEastAsia"/>
          <w:highlight w:val="none"/>
          <w:u w:val="single"/>
        </w:rPr>
        <w:t xml:space="preserve">       </w:t>
      </w:r>
      <w:r>
        <w:rPr>
          <w:rFonts w:hint="eastAsia" w:asciiTheme="minorEastAsia" w:hAnsiTheme="minorEastAsia" w:eastAsiaTheme="minorEastAsia"/>
          <w:highlight w:val="none"/>
        </w:rPr>
        <w:t>日</w:t>
      </w:r>
    </w:p>
    <w:p w14:paraId="6F986B84">
      <w:pPr>
        <w:topLinePunct/>
        <w:spacing w:line="440" w:lineRule="exact"/>
        <w:jc w:val="left"/>
        <w:rPr>
          <w:rFonts w:hint="eastAsia"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highlight w:val="none"/>
        </w:rPr>
        <w:t>除本文件允许</w:t>
      </w:r>
      <w:r>
        <w:rPr>
          <w:rFonts w:hint="eastAsia" w:eastAsia="宋体"/>
          <w:highlight w:val="none"/>
          <w:lang w:eastAsia="zh-CN"/>
        </w:rPr>
        <w:t>供应商</w:t>
      </w:r>
      <w:r>
        <w:rPr>
          <w:rFonts w:hint="eastAsia"/>
          <w:highlight w:val="none"/>
        </w:rPr>
        <w:t>进行填写的内容以外，</w:t>
      </w:r>
      <w:r>
        <w:rPr>
          <w:rFonts w:hint="eastAsia" w:eastAsia="宋体"/>
          <w:highlight w:val="none"/>
          <w:lang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0576899D">
      <w:pPr>
        <w:rPr>
          <w:rFonts w:hint="eastAsia" w:asciiTheme="minorEastAsia" w:hAnsiTheme="minorEastAsia" w:eastAsiaTheme="minorEastAsia"/>
          <w:highlight w:val="none"/>
        </w:rPr>
      </w:pPr>
      <w:r>
        <w:rPr>
          <w:rFonts w:hint="eastAsia" w:asciiTheme="minorEastAsia" w:hAnsiTheme="minorEastAsia" w:eastAsiaTheme="minorEastAsia"/>
          <w:highlight w:val="none"/>
        </w:rPr>
        <w:br w:type="page"/>
      </w:r>
    </w:p>
    <w:p w14:paraId="76265237">
      <w:pPr>
        <w:widowControl w:val="0"/>
        <w:numPr>
          <w:ilvl w:val="0"/>
          <w:numId w:val="0"/>
        </w:numPr>
        <w:tabs>
          <w:tab w:val="left" w:pos="588"/>
        </w:tabs>
        <w:snapToGrid w:val="0"/>
        <w:spacing w:before="120" w:after="120" w:line="440" w:lineRule="exact"/>
        <w:ind w:leftChars="0"/>
        <w:jc w:val="left"/>
        <w:outlineLvl w:val="1"/>
        <w:rPr>
          <w:rFonts w:hint="eastAsia" w:cs="Times New Roman" w:asciiTheme="minorEastAsia" w:hAnsiTheme="minorEastAsia" w:eastAsiaTheme="minorEastAsia"/>
          <w:b/>
          <w:bCs/>
          <w:kern w:val="2"/>
          <w:sz w:val="24"/>
          <w:szCs w:val="24"/>
          <w:lang w:val="en-US" w:eastAsia="zh-CN" w:bidi="ar-SA"/>
        </w:rPr>
      </w:pPr>
      <w:bookmarkStart w:id="1773" w:name="_Toc17375"/>
      <w:bookmarkStart w:id="1774" w:name="_Toc18396"/>
      <w:bookmarkStart w:id="1775" w:name="_Toc205217519"/>
      <w:r>
        <w:rPr>
          <w:rFonts w:hint="eastAsia" w:cs="Times New Roman" w:asciiTheme="minorEastAsia" w:hAnsiTheme="minorEastAsia" w:eastAsiaTheme="minorEastAsia"/>
          <w:b/>
          <w:bCs/>
          <w:kern w:val="2"/>
          <w:sz w:val="24"/>
          <w:szCs w:val="24"/>
          <w:lang w:val="en-US" w:eastAsia="zh-CN" w:bidi="ar-SA"/>
        </w:rPr>
        <w:t>9.特定关系信息收集表</w:t>
      </w:r>
      <w:bookmarkEnd w:id="1773"/>
      <w:bookmarkEnd w:id="1774"/>
      <w:bookmarkEnd w:id="1775"/>
    </w:p>
    <w:p w14:paraId="1B8D5E3C">
      <w:pPr>
        <w:jc w:val="center"/>
        <w:rPr>
          <w:rFonts w:eastAsia="宋体"/>
          <w:highlight w:val="none"/>
        </w:rPr>
      </w:pPr>
    </w:p>
    <w:p w14:paraId="194FFF10">
      <w:pPr>
        <w:jc w:val="center"/>
        <w:rPr>
          <w:rFonts w:ascii="仿宋_GB2312" w:eastAsia="微软雅黑"/>
          <w:b/>
          <w:sz w:val="28"/>
          <w:highlight w:val="none"/>
        </w:rPr>
      </w:pPr>
      <w:r>
        <w:rPr>
          <w:rFonts w:hint="eastAsia" w:ascii="微软雅黑" w:hAnsi="微软雅黑" w:eastAsia="微软雅黑"/>
          <w:b/>
          <w:szCs w:val="36"/>
          <w:highlight w:val="none"/>
        </w:rPr>
        <w:t>中国电信在职员工、离职或退休后三年内在我方担任法定代表人或董监高的情况表</w:t>
      </w:r>
    </w:p>
    <w:p w14:paraId="48CE1E2E">
      <w:pPr>
        <w:ind w:firstLine="420" w:firstLineChars="200"/>
        <w:rPr>
          <w:rFonts w:ascii="仿宋_GB2312" w:eastAsia="仿宋_GB2312" w:hAnsiTheme="minorEastAsia"/>
          <w:highlight w:val="none"/>
        </w:rPr>
      </w:pPr>
    </w:p>
    <w:tbl>
      <w:tblPr>
        <w:tblStyle w:val="39"/>
        <w:tblW w:w="5305" w:type="pct"/>
        <w:jc w:val="center"/>
        <w:tblLayout w:type="fixed"/>
        <w:tblCellMar>
          <w:top w:w="0" w:type="dxa"/>
          <w:left w:w="108" w:type="dxa"/>
          <w:bottom w:w="0" w:type="dxa"/>
          <w:right w:w="108" w:type="dxa"/>
        </w:tblCellMar>
      </w:tblPr>
      <w:tblGrid>
        <w:gridCol w:w="646"/>
        <w:gridCol w:w="1285"/>
        <w:gridCol w:w="1607"/>
        <w:gridCol w:w="2298"/>
        <w:gridCol w:w="1190"/>
        <w:gridCol w:w="839"/>
        <w:gridCol w:w="1177"/>
      </w:tblGrid>
      <w:tr w14:paraId="54452E7B">
        <w:tblPrEx>
          <w:tblCellMar>
            <w:top w:w="0" w:type="dxa"/>
            <w:left w:w="108" w:type="dxa"/>
            <w:bottom w:w="0" w:type="dxa"/>
            <w:right w:w="108" w:type="dxa"/>
          </w:tblCellMar>
        </w:tblPrEx>
        <w:trPr>
          <w:trHeight w:val="440" w:hRule="atLeast"/>
          <w:jc w:val="center"/>
        </w:trPr>
        <w:tc>
          <w:tcPr>
            <w:tcW w:w="357" w:type="pct"/>
            <w:vMerge w:val="restart"/>
            <w:tcBorders>
              <w:top w:val="single" w:color="auto" w:sz="4" w:space="0"/>
              <w:left w:val="single" w:color="auto" w:sz="4" w:space="0"/>
              <w:right w:val="single" w:color="auto" w:sz="4" w:space="0"/>
            </w:tcBorders>
            <w:noWrap/>
            <w:vAlign w:val="center"/>
          </w:tcPr>
          <w:p w14:paraId="7114A26D">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序号</w:t>
            </w:r>
          </w:p>
        </w:tc>
        <w:tc>
          <w:tcPr>
            <w:tcW w:w="1598" w:type="pct"/>
            <w:gridSpan w:val="2"/>
            <w:tcBorders>
              <w:top w:val="single" w:color="auto" w:sz="4" w:space="0"/>
              <w:left w:val="single" w:color="auto" w:sz="4" w:space="0"/>
              <w:bottom w:val="single" w:color="auto" w:sz="4" w:space="0"/>
              <w:right w:val="single" w:color="auto" w:sz="4" w:space="0"/>
            </w:tcBorders>
            <w:vAlign w:val="center"/>
          </w:tcPr>
          <w:p w14:paraId="4BC98311">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我方法定代表人或董监高</w:t>
            </w:r>
          </w:p>
        </w:tc>
        <w:tc>
          <w:tcPr>
            <w:tcW w:w="3044" w:type="pct"/>
            <w:gridSpan w:val="4"/>
            <w:tcBorders>
              <w:top w:val="single" w:color="auto" w:sz="4" w:space="0"/>
              <w:left w:val="nil"/>
              <w:bottom w:val="single" w:color="auto" w:sz="4" w:space="0"/>
              <w:right w:val="single" w:color="000000" w:sz="4" w:space="0"/>
            </w:tcBorders>
            <w:vAlign w:val="center"/>
          </w:tcPr>
          <w:p w14:paraId="7DA07FA6">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在中国电信从业情况</w:t>
            </w:r>
          </w:p>
        </w:tc>
      </w:tr>
      <w:tr w14:paraId="2C8ECFA5">
        <w:tblPrEx>
          <w:tblCellMar>
            <w:top w:w="0" w:type="dxa"/>
            <w:left w:w="108" w:type="dxa"/>
            <w:bottom w:w="0" w:type="dxa"/>
            <w:right w:w="108" w:type="dxa"/>
          </w:tblCellMar>
        </w:tblPrEx>
        <w:trPr>
          <w:trHeight w:val="414" w:hRule="atLeast"/>
          <w:jc w:val="center"/>
        </w:trPr>
        <w:tc>
          <w:tcPr>
            <w:tcW w:w="357" w:type="pct"/>
            <w:vMerge w:val="continue"/>
            <w:tcBorders>
              <w:left w:val="single" w:color="auto" w:sz="4" w:space="0"/>
              <w:bottom w:val="single" w:color="auto" w:sz="4" w:space="0"/>
              <w:right w:val="single" w:color="auto" w:sz="4" w:space="0"/>
            </w:tcBorders>
            <w:vAlign w:val="center"/>
          </w:tcPr>
          <w:p w14:paraId="66E82442">
            <w:pPr>
              <w:widowControl/>
              <w:jc w:val="center"/>
              <w:rPr>
                <w:rFonts w:ascii="仿宋_GB2312" w:hAnsi="仿宋_GB2312" w:eastAsia="仿宋_GB2312" w:cs="仿宋_GB2312"/>
                <w:b/>
                <w:bCs/>
                <w:kern w:val="0"/>
                <w:highlight w:val="none"/>
              </w:rPr>
            </w:pPr>
          </w:p>
        </w:tc>
        <w:tc>
          <w:tcPr>
            <w:tcW w:w="710" w:type="pct"/>
            <w:tcBorders>
              <w:top w:val="single" w:color="auto" w:sz="4" w:space="0"/>
              <w:left w:val="single" w:color="auto" w:sz="4" w:space="0"/>
              <w:bottom w:val="single" w:color="auto" w:sz="4" w:space="0"/>
              <w:right w:val="single" w:color="auto" w:sz="4" w:space="0"/>
            </w:tcBorders>
            <w:vAlign w:val="center"/>
          </w:tcPr>
          <w:p w14:paraId="723DEDFF">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887" w:type="pct"/>
            <w:tcBorders>
              <w:top w:val="single" w:color="auto" w:sz="4" w:space="0"/>
              <w:left w:val="single" w:color="auto" w:sz="4" w:space="0"/>
              <w:bottom w:val="single" w:color="auto" w:sz="4" w:space="0"/>
              <w:right w:val="single" w:color="auto" w:sz="4" w:space="0"/>
            </w:tcBorders>
            <w:vAlign w:val="center"/>
          </w:tcPr>
          <w:p w14:paraId="468E6E93">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担任职务</w:t>
            </w:r>
          </w:p>
        </w:tc>
        <w:tc>
          <w:tcPr>
            <w:tcW w:w="1271" w:type="pct"/>
            <w:tcBorders>
              <w:top w:val="single" w:color="auto" w:sz="4" w:space="0"/>
              <w:left w:val="nil"/>
              <w:bottom w:val="single" w:color="auto" w:sz="4" w:space="0"/>
              <w:right w:val="single" w:color="auto" w:sz="4" w:space="0"/>
            </w:tcBorders>
            <w:vAlign w:val="center"/>
          </w:tcPr>
          <w:p w14:paraId="62919198">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期限</w:t>
            </w:r>
          </w:p>
        </w:tc>
        <w:tc>
          <w:tcPr>
            <w:tcW w:w="658" w:type="pct"/>
            <w:tcBorders>
              <w:top w:val="single" w:color="auto" w:sz="4" w:space="0"/>
              <w:left w:val="single" w:color="auto" w:sz="4" w:space="0"/>
              <w:bottom w:val="single" w:color="auto" w:sz="4" w:space="0"/>
              <w:right w:val="single" w:color="auto" w:sz="4" w:space="0"/>
            </w:tcBorders>
            <w:noWrap/>
            <w:vAlign w:val="center"/>
          </w:tcPr>
          <w:p w14:paraId="30AA1725">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单位</w:t>
            </w:r>
          </w:p>
        </w:tc>
        <w:tc>
          <w:tcPr>
            <w:tcW w:w="464" w:type="pct"/>
            <w:tcBorders>
              <w:top w:val="nil"/>
              <w:left w:val="nil"/>
              <w:bottom w:val="single" w:color="auto" w:sz="4" w:space="0"/>
              <w:right w:val="single" w:color="auto" w:sz="4" w:space="0"/>
            </w:tcBorders>
            <w:noWrap/>
            <w:vAlign w:val="center"/>
          </w:tcPr>
          <w:p w14:paraId="1E63C82F">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部门</w:t>
            </w:r>
          </w:p>
        </w:tc>
        <w:tc>
          <w:tcPr>
            <w:tcW w:w="650" w:type="pct"/>
            <w:tcBorders>
              <w:top w:val="single" w:color="auto" w:sz="4" w:space="0"/>
              <w:left w:val="nil"/>
              <w:bottom w:val="single" w:color="auto" w:sz="4" w:space="0"/>
              <w:right w:val="single" w:color="auto" w:sz="4" w:space="0"/>
            </w:tcBorders>
            <w:vAlign w:val="center"/>
          </w:tcPr>
          <w:p w14:paraId="0BE122B2">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职务/岗位</w:t>
            </w:r>
          </w:p>
        </w:tc>
      </w:tr>
      <w:tr w14:paraId="575E25F2">
        <w:tblPrEx>
          <w:tblCellMar>
            <w:top w:w="0" w:type="dxa"/>
            <w:left w:w="108" w:type="dxa"/>
            <w:bottom w:w="0" w:type="dxa"/>
            <w:right w:w="108" w:type="dxa"/>
          </w:tblCellMar>
        </w:tblPrEx>
        <w:trPr>
          <w:trHeight w:val="387" w:hRule="atLeast"/>
          <w:jc w:val="center"/>
        </w:trPr>
        <w:tc>
          <w:tcPr>
            <w:tcW w:w="357" w:type="pct"/>
            <w:tcBorders>
              <w:top w:val="nil"/>
              <w:left w:val="single" w:color="auto" w:sz="4" w:space="0"/>
              <w:bottom w:val="single" w:color="auto" w:sz="4" w:space="0"/>
              <w:right w:val="single" w:color="auto" w:sz="4" w:space="0"/>
            </w:tcBorders>
            <w:noWrap/>
            <w:vAlign w:val="center"/>
          </w:tcPr>
          <w:p w14:paraId="64D1D09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10" w:type="pct"/>
            <w:tcBorders>
              <w:top w:val="nil"/>
              <w:left w:val="nil"/>
              <w:bottom w:val="single" w:color="auto" w:sz="4" w:space="0"/>
              <w:right w:val="single" w:color="auto" w:sz="4" w:space="0"/>
            </w:tcBorders>
            <w:noWrap/>
            <w:vAlign w:val="center"/>
          </w:tcPr>
          <w:p w14:paraId="785BB1CE">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张三</w:t>
            </w:r>
          </w:p>
        </w:tc>
        <w:tc>
          <w:tcPr>
            <w:tcW w:w="887" w:type="pct"/>
            <w:tcBorders>
              <w:top w:val="nil"/>
              <w:left w:val="nil"/>
              <w:bottom w:val="single" w:color="auto" w:sz="4" w:space="0"/>
              <w:right w:val="single" w:color="auto" w:sz="4" w:space="0"/>
            </w:tcBorders>
            <w:noWrap/>
            <w:vAlign w:val="center"/>
          </w:tcPr>
          <w:p w14:paraId="40686667">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5A38CAF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2024.1.1-2024.10.31</w:t>
            </w:r>
          </w:p>
        </w:tc>
        <w:tc>
          <w:tcPr>
            <w:tcW w:w="658" w:type="pct"/>
            <w:tcBorders>
              <w:top w:val="single" w:color="auto" w:sz="4" w:space="0"/>
              <w:left w:val="single" w:color="auto" w:sz="4" w:space="0"/>
              <w:bottom w:val="single" w:color="auto" w:sz="4" w:space="0"/>
              <w:right w:val="single" w:color="auto" w:sz="4" w:space="0"/>
            </w:tcBorders>
            <w:noWrap/>
            <w:vAlign w:val="center"/>
          </w:tcPr>
          <w:p w14:paraId="1B9A71C4">
            <w:pPr>
              <w:widowControl/>
              <w:jc w:val="center"/>
              <w:rPr>
                <w:rFonts w:ascii="仿宋_GB2312" w:hAnsi="等线" w:eastAsia="仿宋_GB2312" w:cs="宋体"/>
                <w:i/>
                <w:iCs/>
                <w:kern w:val="0"/>
                <w:sz w:val="20"/>
                <w:highlight w:val="none"/>
              </w:rPr>
            </w:pPr>
            <w:r>
              <w:rPr>
                <w:rFonts w:hint="eastAsia" w:ascii="仿宋_GB2312" w:hAnsi="仿宋_GB2312" w:eastAsia="仿宋_GB2312" w:cs="仿宋_GB2312"/>
                <w:kern w:val="0"/>
                <w:highlight w:val="none"/>
              </w:rPr>
              <w:t>XX公司</w:t>
            </w:r>
          </w:p>
        </w:tc>
        <w:tc>
          <w:tcPr>
            <w:tcW w:w="464" w:type="pct"/>
            <w:tcBorders>
              <w:top w:val="nil"/>
              <w:left w:val="nil"/>
              <w:bottom w:val="single" w:color="auto" w:sz="4" w:space="0"/>
              <w:right w:val="single" w:color="auto" w:sz="4" w:space="0"/>
            </w:tcBorders>
            <w:noWrap/>
            <w:vAlign w:val="center"/>
          </w:tcPr>
          <w:p w14:paraId="4E18181E">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66863DE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总经理</w:t>
            </w:r>
          </w:p>
        </w:tc>
      </w:tr>
      <w:tr w14:paraId="069BC454">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027C9D2C">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10" w:type="pct"/>
            <w:tcBorders>
              <w:top w:val="nil"/>
              <w:left w:val="nil"/>
              <w:bottom w:val="single" w:color="auto" w:sz="4" w:space="0"/>
              <w:right w:val="single" w:color="auto" w:sz="4" w:space="0"/>
            </w:tcBorders>
            <w:noWrap/>
            <w:vAlign w:val="center"/>
          </w:tcPr>
          <w:p w14:paraId="2BC7238B">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李四</w:t>
            </w:r>
          </w:p>
        </w:tc>
        <w:tc>
          <w:tcPr>
            <w:tcW w:w="887" w:type="pct"/>
            <w:tcBorders>
              <w:top w:val="nil"/>
              <w:left w:val="nil"/>
              <w:bottom w:val="single" w:color="auto" w:sz="4" w:space="0"/>
              <w:right w:val="single" w:color="auto" w:sz="4" w:space="0"/>
            </w:tcBorders>
            <w:noWrap/>
            <w:vAlign w:val="center"/>
          </w:tcPr>
          <w:p w14:paraId="2683EA7D">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c>
          <w:tcPr>
            <w:tcW w:w="1271" w:type="pct"/>
            <w:tcBorders>
              <w:top w:val="single" w:color="auto" w:sz="4" w:space="0"/>
              <w:left w:val="nil"/>
              <w:bottom w:val="single" w:color="auto" w:sz="4" w:space="0"/>
              <w:right w:val="single" w:color="auto" w:sz="4" w:space="0"/>
            </w:tcBorders>
            <w:vAlign w:val="center"/>
          </w:tcPr>
          <w:p w14:paraId="15C1196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2024.1.1至今</w:t>
            </w:r>
          </w:p>
        </w:tc>
        <w:tc>
          <w:tcPr>
            <w:tcW w:w="658" w:type="pct"/>
            <w:tcBorders>
              <w:top w:val="single" w:color="auto" w:sz="4" w:space="0"/>
              <w:left w:val="single" w:color="auto" w:sz="4" w:space="0"/>
              <w:bottom w:val="single" w:color="auto" w:sz="4" w:space="0"/>
              <w:right w:val="single" w:color="auto" w:sz="4" w:space="0"/>
            </w:tcBorders>
            <w:noWrap/>
            <w:vAlign w:val="center"/>
          </w:tcPr>
          <w:p w14:paraId="6700DA4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464" w:type="pct"/>
            <w:tcBorders>
              <w:top w:val="nil"/>
              <w:left w:val="nil"/>
              <w:bottom w:val="single" w:color="auto" w:sz="4" w:space="0"/>
              <w:right w:val="single" w:color="auto" w:sz="4" w:space="0"/>
            </w:tcBorders>
            <w:noWrap/>
            <w:vAlign w:val="center"/>
          </w:tcPr>
          <w:p w14:paraId="08CE1D0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XX部</w:t>
            </w:r>
          </w:p>
        </w:tc>
        <w:tc>
          <w:tcPr>
            <w:tcW w:w="650" w:type="pct"/>
            <w:tcBorders>
              <w:top w:val="single" w:color="auto" w:sz="4" w:space="0"/>
              <w:left w:val="nil"/>
              <w:bottom w:val="single" w:color="auto" w:sz="4" w:space="0"/>
              <w:right w:val="single" w:color="auto" w:sz="4" w:space="0"/>
            </w:tcBorders>
            <w:vAlign w:val="center"/>
          </w:tcPr>
          <w:p w14:paraId="3CA2EE9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采购管理</w:t>
            </w:r>
          </w:p>
        </w:tc>
      </w:tr>
      <w:tr w14:paraId="5CCE8898">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5294538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10" w:type="pct"/>
            <w:tcBorders>
              <w:top w:val="nil"/>
              <w:left w:val="nil"/>
              <w:bottom w:val="single" w:color="auto" w:sz="4" w:space="0"/>
              <w:right w:val="single" w:color="auto" w:sz="4" w:space="0"/>
            </w:tcBorders>
            <w:noWrap/>
            <w:vAlign w:val="center"/>
          </w:tcPr>
          <w:p w14:paraId="3E4D9912">
            <w:pPr>
              <w:widowControl/>
              <w:jc w:val="center"/>
              <w:rPr>
                <w:rFonts w:ascii="仿宋_GB2312" w:hAnsi="仿宋_GB2312" w:eastAsia="仿宋_GB2312" w:cs="仿宋_GB2312"/>
                <w:kern w:val="0"/>
                <w:highlight w:val="none"/>
              </w:rPr>
            </w:pPr>
          </w:p>
        </w:tc>
        <w:tc>
          <w:tcPr>
            <w:tcW w:w="887" w:type="pct"/>
            <w:tcBorders>
              <w:top w:val="nil"/>
              <w:left w:val="nil"/>
              <w:bottom w:val="single" w:color="auto" w:sz="4" w:space="0"/>
              <w:right w:val="single" w:color="auto" w:sz="4" w:space="0"/>
            </w:tcBorders>
            <w:noWrap/>
            <w:vAlign w:val="center"/>
          </w:tcPr>
          <w:p w14:paraId="1C8A3814">
            <w:pPr>
              <w:widowControl/>
              <w:jc w:val="center"/>
              <w:rPr>
                <w:rFonts w:ascii="仿宋_GB2312" w:hAnsi="仿宋_GB2312" w:eastAsia="仿宋_GB2312" w:cs="仿宋_GB2312"/>
                <w:kern w:val="0"/>
                <w:highlight w:val="none"/>
              </w:rPr>
            </w:pPr>
          </w:p>
        </w:tc>
        <w:tc>
          <w:tcPr>
            <w:tcW w:w="1271" w:type="pct"/>
            <w:tcBorders>
              <w:top w:val="single" w:color="auto" w:sz="4" w:space="0"/>
              <w:left w:val="nil"/>
              <w:bottom w:val="single" w:color="auto" w:sz="4" w:space="0"/>
              <w:right w:val="single" w:color="auto" w:sz="4" w:space="0"/>
            </w:tcBorders>
            <w:vAlign w:val="center"/>
          </w:tcPr>
          <w:p w14:paraId="4BDE3E57">
            <w:pPr>
              <w:widowControl/>
              <w:jc w:val="center"/>
              <w:rPr>
                <w:rFonts w:ascii="仿宋_GB2312" w:hAnsi="仿宋_GB2312" w:eastAsia="仿宋_GB2312" w:cs="仿宋_GB2312"/>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20C36FC5">
            <w:pPr>
              <w:widowControl/>
              <w:jc w:val="center"/>
              <w:rPr>
                <w:rFonts w:ascii="仿宋_GB2312" w:hAnsi="仿宋_GB2312" w:eastAsia="仿宋_GB2312" w:cs="仿宋_GB2312"/>
                <w:kern w:val="0"/>
                <w:highlight w:val="none"/>
              </w:rPr>
            </w:pPr>
          </w:p>
        </w:tc>
        <w:tc>
          <w:tcPr>
            <w:tcW w:w="464" w:type="pct"/>
            <w:tcBorders>
              <w:top w:val="nil"/>
              <w:left w:val="nil"/>
              <w:bottom w:val="single" w:color="auto" w:sz="4" w:space="0"/>
              <w:right w:val="single" w:color="auto" w:sz="4" w:space="0"/>
            </w:tcBorders>
            <w:noWrap/>
            <w:vAlign w:val="center"/>
          </w:tcPr>
          <w:p w14:paraId="778E0E98">
            <w:pPr>
              <w:widowControl/>
              <w:jc w:val="center"/>
              <w:rPr>
                <w:rFonts w:ascii="仿宋_GB2312" w:hAnsi="仿宋_GB2312" w:eastAsia="仿宋_GB2312" w:cs="仿宋_GB2312"/>
                <w:kern w:val="0"/>
                <w:highlight w:val="none"/>
              </w:rPr>
            </w:pPr>
          </w:p>
        </w:tc>
        <w:tc>
          <w:tcPr>
            <w:tcW w:w="650" w:type="pct"/>
            <w:tcBorders>
              <w:top w:val="single" w:color="auto" w:sz="4" w:space="0"/>
              <w:left w:val="nil"/>
              <w:bottom w:val="single" w:color="auto" w:sz="4" w:space="0"/>
              <w:right w:val="single" w:color="auto" w:sz="4" w:space="0"/>
            </w:tcBorders>
            <w:vAlign w:val="center"/>
          </w:tcPr>
          <w:p w14:paraId="41461255">
            <w:pPr>
              <w:widowControl/>
              <w:jc w:val="center"/>
              <w:rPr>
                <w:rFonts w:ascii="仿宋_GB2312" w:hAnsi="仿宋_GB2312" w:eastAsia="仿宋_GB2312" w:cs="仿宋_GB2312"/>
                <w:kern w:val="0"/>
                <w:highlight w:val="none"/>
              </w:rPr>
            </w:pPr>
          </w:p>
        </w:tc>
      </w:tr>
      <w:tr w14:paraId="7401887A">
        <w:tblPrEx>
          <w:tblCellMar>
            <w:top w:w="0" w:type="dxa"/>
            <w:left w:w="108" w:type="dxa"/>
            <w:bottom w:w="0" w:type="dxa"/>
            <w:right w:w="108" w:type="dxa"/>
          </w:tblCellMar>
        </w:tblPrEx>
        <w:trPr>
          <w:trHeight w:val="273" w:hRule="atLeast"/>
          <w:jc w:val="center"/>
        </w:trPr>
        <w:tc>
          <w:tcPr>
            <w:tcW w:w="357" w:type="pct"/>
            <w:tcBorders>
              <w:top w:val="nil"/>
              <w:left w:val="single" w:color="auto" w:sz="4" w:space="0"/>
              <w:bottom w:val="single" w:color="auto" w:sz="4" w:space="0"/>
              <w:right w:val="single" w:color="auto" w:sz="4" w:space="0"/>
            </w:tcBorders>
            <w:noWrap/>
            <w:vAlign w:val="center"/>
          </w:tcPr>
          <w:p w14:paraId="3DF7C222">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710" w:type="pct"/>
            <w:tcBorders>
              <w:top w:val="nil"/>
              <w:left w:val="nil"/>
              <w:bottom w:val="single" w:color="auto" w:sz="4" w:space="0"/>
              <w:right w:val="single" w:color="auto" w:sz="4" w:space="0"/>
            </w:tcBorders>
            <w:noWrap/>
            <w:vAlign w:val="center"/>
          </w:tcPr>
          <w:p w14:paraId="54B41C56">
            <w:pPr>
              <w:widowControl/>
              <w:jc w:val="center"/>
              <w:rPr>
                <w:rFonts w:ascii="仿宋_GB2312" w:hAnsi="仿宋_GB2312" w:eastAsia="仿宋_GB2312" w:cs="仿宋_GB2312"/>
                <w:kern w:val="0"/>
                <w:highlight w:val="none"/>
              </w:rPr>
            </w:pPr>
          </w:p>
        </w:tc>
        <w:tc>
          <w:tcPr>
            <w:tcW w:w="887" w:type="pct"/>
            <w:tcBorders>
              <w:top w:val="nil"/>
              <w:left w:val="nil"/>
              <w:bottom w:val="single" w:color="auto" w:sz="4" w:space="0"/>
              <w:right w:val="single" w:color="auto" w:sz="4" w:space="0"/>
            </w:tcBorders>
            <w:noWrap/>
            <w:vAlign w:val="center"/>
          </w:tcPr>
          <w:p w14:paraId="392E0D92">
            <w:pPr>
              <w:widowControl/>
              <w:jc w:val="center"/>
              <w:rPr>
                <w:rFonts w:ascii="仿宋_GB2312" w:hAnsi="仿宋_GB2312" w:eastAsia="仿宋_GB2312" w:cs="仿宋_GB2312"/>
                <w:kern w:val="0"/>
                <w:highlight w:val="none"/>
              </w:rPr>
            </w:pPr>
          </w:p>
        </w:tc>
        <w:tc>
          <w:tcPr>
            <w:tcW w:w="1271" w:type="pct"/>
            <w:tcBorders>
              <w:top w:val="single" w:color="auto" w:sz="4" w:space="0"/>
              <w:left w:val="nil"/>
              <w:bottom w:val="single" w:color="auto" w:sz="4" w:space="0"/>
              <w:right w:val="single" w:color="auto" w:sz="4" w:space="0"/>
            </w:tcBorders>
            <w:vAlign w:val="center"/>
          </w:tcPr>
          <w:p w14:paraId="77CB930B">
            <w:pPr>
              <w:widowControl/>
              <w:jc w:val="center"/>
              <w:rPr>
                <w:rFonts w:ascii="仿宋_GB2312" w:hAnsi="仿宋_GB2312" w:eastAsia="仿宋_GB2312" w:cs="仿宋_GB2312"/>
                <w:kern w:val="0"/>
                <w:highlight w:val="none"/>
              </w:rPr>
            </w:pPr>
          </w:p>
        </w:tc>
        <w:tc>
          <w:tcPr>
            <w:tcW w:w="658" w:type="pct"/>
            <w:tcBorders>
              <w:top w:val="single" w:color="auto" w:sz="4" w:space="0"/>
              <w:left w:val="single" w:color="auto" w:sz="4" w:space="0"/>
              <w:bottom w:val="single" w:color="auto" w:sz="4" w:space="0"/>
              <w:right w:val="single" w:color="auto" w:sz="4" w:space="0"/>
            </w:tcBorders>
            <w:noWrap/>
            <w:vAlign w:val="center"/>
          </w:tcPr>
          <w:p w14:paraId="6EEC5B42">
            <w:pPr>
              <w:widowControl/>
              <w:jc w:val="center"/>
              <w:rPr>
                <w:rFonts w:ascii="仿宋_GB2312" w:hAnsi="仿宋_GB2312" w:eastAsia="仿宋_GB2312" w:cs="仿宋_GB2312"/>
                <w:kern w:val="0"/>
                <w:highlight w:val="none"/>
              </w:rPr>
            </w:pPr>
          </w:p>
        </w:tc>
        <w:tc>
          <w:tcPr>
            <w:tcW w:w="464" w:type="pct"/>
            <w:tcBorders>
              <w:top w:val="nil"/>
              <w:left w:val="nil"/>
              <w:bottom w:val="single" w:color="auto" w:sz="4" w:space="0"/>
              <w:right w:val="single" w:color="auto" w:sz="4" w:space="0"/>
            </w:tcBorders>
            <w:noWrap/>
            <w:vAlign w:val="center"/>
          </w:tcPr>
          <w:p w14:paraId="0B0A19E8">
            <w:pPr>
              <w:widowControl/>
              <w:jc w:val="center"/>
              <w:rPr>
                <w:rFonts w:ascii="仿宋_GB2312" w:hAnsi="仿宋_GB2312" w:eastAsia="仿宋_GB2312" w:cs="仿宋_GB2312"/>
                <w:kern w:val="0"/>
                <w:highlight w:val="none"/>
              </w:rPr>
            </w:pPr>
          </w:p>
        </w:tc>
        <w:tc>
          <w:tcPr>
            <w:tcW w:w="650" w:type="pct"/>
            <w:tcBorders>
              <w:top w:val="single" w:color="auto" w:sz="4" w:space="0"/>
              <w:left w:val="nil"/>
              <w:bottom w:val="single" w:color="auto" w:sz="4" w:space="0"/>
              <w:right w:val="single" w:color="auto" w:sz="4" w:space="0"/>
            </w:tcBorders>
            <w:vAlign w:val="center"/>
          </w:tcPr>
          <w:p w14:paraId="7AD8856B">
            <w:pPr>
              <w:widowControl/>
              <w:jc w:val="center"/>
              <w:rPr>
                <w:rFonts w:ascii="仿宋_GB2312" w:hAnsi="仿宋_GB2312" w:eastAsia="仿宋_GB2312" w:cs="仿宋_GB2312"/>
                <w:kern w:val="0"/>
                <w:highlight w:val="none"/>
              </w:rPr>
            </w:pPr>
          </w:p>
        </w:tc>
      </w:tr>
    </w:tbl>
    <w:p w14:paraId="3D268D2A">
      <w:pPr>
        <w:rPr>
          <w:rFonts w:ascii="仿宋_GB2312" w:hAnsi="宋体" w:eastAsia="仿宋_GB2312" w:cs="宋体"/>
          <w:sz w:val="22"/>
          <w:szCs w:val="22"/>
          <w:highlight w:val="none"/>
        </w:rPr>
      </w:pPr>
    </w:p>
    <w:p w14:paraId="0F87EEEE">
      <w:pPr>
        <w:rPr>
          <w:rFonts w:hint="eastAsia" w:asciiTheme="minorEastAsia" w:hAnsiTheme="minorEastAsia" w:eastAsiaTheme="minorEastAsia"/>
          <w:szCs w:val="21"/>
        </w:rPr>
      </w:pPr>
      <w:r>
        <w:rPr>
          <w:rFonts w:hint="eastAsia" w:asciiTheme="minorEastAsia" w:hAnsiTheme="minorEastAsia" w:eastAsiaTheme="minorEastAsia"/>
          <w:szCs w:val="21"/>
        </w:rPr>
        <w:t>注：1.从业是指与中国电信集团系统内企业直接签订劳动合同的情形；</w:t>
      </w:r>
    </w:p>
    <w:p w14:paraId="492707C0">
      <w:pPr>
        <w:ind w:firstLine="420" w:firstLineChars="0"/>
        <w:rPr>
          <w:rFonts w:hint="eastAsia" w:asciiTheme="minorEastAsia" w:hAnsiTheme="minorEastAsia" w:eastAsiaTheme="minorEastAsia"/>
          <w:szCs w:val="21"/>
        </w:rPr>
      </w:pPr>
      <w:r>
        <w:rPr>
          <w:rFonts w:hint="eastAsia" w:asciiTheme="minorEastAsia" w:hAnsiTheme="minorEastAsia" w:eastAsiaTheme="minorEastAsia"/>
          <w:szCs w:val="21"/>
        </w:rPr>
        <w:t>2.中国电信在职员工经中国电信集团系统内企业批准在我方担任法定代表人或董监高的情形，无需填写；</w:t>
      </w:r>
    </w:p>
    <w:p w14:paraId="7E960A46">
      <w:pPr>
        <w:ind w:firstLine="420" w:firstLineChars="0"/>
        <w:rPr>
          <w:rFonts w:hint="eastAsia" w:ascii="仿宋_GB2312" w:hAnsi="宋体" w:eastAsia="仿宋_GB2312" w:cs="宋体"/>
          <w:sz w:val="22"/>
          <w:szCs w:val="22"/>
          <w:highlight w:val="none"/>
        </w:rPr>
      </w:pPr>
      <w:r>
        <w:rPr>
          <w:rFonts w:hint="eastAsia" w:asciiTheme="minorEastAsia" w:hAnsiTheme="minorEastAsia" w:eastAsiaTheme="minorEastAsia"/>
          <w:szCs w:val="21"/>
        </w:rPr>
        <w:t>3.如无上述情况，则应在第一行“姓名”列填写“不涉及”。</w:t>
      </w:r>
    </w:p>
    <w:p w14:paraId="51115ECB">
      <w:pPr>
        <w:numPr>
          <w:ilvl w:val="255"/>
          <w:numId w:val="0"/>
        </w:numPr>
        <w:ind w:firstLine="440" w:firstLineChars="200"/>
        <w:rPr>
          <w:rFonts w:hint="eastAsia" w:ascii="仿宋_GB2312" w:hAnsi="宋体" w:eastAsia="仿宋_GB2312" w:cs="宋体"/>
          <w:sz w:val="22"/>
          <w:szCs w:val="22"/>
          <w:highlight w:val="none"/>
        </w:rPr>
      </w:pPr>
    </w:p>
    <w:p w14:paraId="61AB4B12">
      <w:pPr>
        <w:jc w:val="center"/>
        <w:rPr>
          <w:rFonts w:ascii="微软雅黑" w:hAnsi="微软雅黑" w:eastAsia="微软雅黑"/>
          <w:b/>
          <w:szCs w:val="36"/>
          <w:highlight w:val="none"/>
        </w:rPr>
      </w:pPr>
      <w:r>
        <w:rPr>
          <w:rFonts w:hint="eastAsia" w:ascii="微软雅黑" w:hAnsi="微软雅黑" w:eastAsia="微软雅黑"/>
          <w:b/>
          <w:szCs w:val="36"/>
          <w:highlight w:val="none"/>
        </w:rPr>
        <w:t>中国电信员工的近亲属在我方担任法定代表人或董监高的情况表</w:t>
      </w:r>
    </w:p>
    <w:p w14:paraId="177C589A">
      <w:pPr>
        <w:numPr>
          <w:ilvl w:val="255"/>
          <w:numId w:val="0"/>
        </w:numPr>
        <w:ind w:firstLine="440" w:firstLineChars="200"/>
        <w:rPr>
          <w:rFonts w:hint="eastAsia" w:ascii="仿宋_GB2312" w:hAnsi="宋体" w:eastAsia="仿宋_GB2312" w:cs="宋体"/>
          <w:sz w:val="22"/>
          <w:szCs w:val="22"/>
          <w:highlight w:val="none"/>
        </w:rPr>
      </w:pPr>
    </w:p>
    <w:tbl>
      <w:tblPr>
        <w:tblStyle w:val="39"/>
        <w:tblW w:w="5864" w:type="pct"/>
        <w:jc w:val="center"/>
        <w:tblLayout w:type="fixed"/>
        <w:tblCellMar>
          <w:top w:w="0" w:type="dxa"/>
          <w:left w:w="108" w:type="dxa"/>
          <w:bottom w:w="0" w:type="dxa"/>
          <w:right w:w="108" w:type="dxa"/>
        </w:tblCellMar>
      </w:tblPr>
      <w:tblGrid>
        <w:gridCol w:w="731"/>
        <w:gridCol w:w="737"/>
        <w:gridCol w:w="1548"/>
        <w:gridCol w:w="1293"/>
        <w:gridCol w:w="1502"/>
        <w:gridCol w:w="1468"/>
        <w:gridCol w:w="947"/>
        <w:gridCol w:w="1769"/>
      </w:tblGrid>
      <w:tr w14:paraId="0FD5F18B">
        <w:tblPrEx>
          <w:tblCellMar>
            <w:top w:w="0" w:type="dxa"/>
            <w:left w:w="108" w:type="dxa"/>
            <w:bottom w:w="0" w:type="dxa"/>
            <w:right w:w="108" w:type="dxa"/>
          </w:tblCellMar>
        </w:tblPrEx>
        <w:trPr>
          <w:trHeight w:val="459" w:hRule="atLeast"/>
          <w:jc w:val="center"/>
        </w:trPr>
        <w:tc>
          <w:tcPr>
            <w:tcW w:w="731" w:type="dxa"/>
            <w:vMerge w:val="restart"/>
            <w:tcBorders>
              <w:top w:val="single" w:color="auto" w:sz="4" w:space="0"/>
              <w:left w:val="single" w:color="auto" w:sz="4" w:space="0"/>
              <w:right w:val="single" w:color="auto" w:sz="4" w:space="0"/>
            </w:tcBorders>
            <w:noWrap/>
            <w:vAlign w:val="center"/>
          </w:tcPr>
          <w:p w14:paraId="37DB17B4">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序号</w:t>
            </w:r>
          </w:p>
        </w:tc>
        <w:tc>
          <w:tcPr>
            <w:tcW w:w="5080" w:type="dxa"/>
            <w:gridSpan w:val="4"/>
            <w:tcBorders>
              <w:top w:val="single" w:color="auto" w:sz="4" w:space="0"/>
              <w:left w:val="single" w:color="auto" w:sz="4" w:space="0"/>
              <w:bottom w:val="single" w:color="auto" w:sz="4" w:space="0"/>
              <w:right w:val="single" w:color="auto" w:sz="4" w:space="0"/>
            </w:tcBorders>
            <w:vAlign w:val="center"/>
          </w:tcPr>
          <w:p w14:paraId="7E669AE3">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中国电信员工当前从业情况</w:t>
            </w:r>
          </w:p>
        </w:tc>
        <w:tc>
          <w:tcPr>
            <w:tcW w:w="4184" w:type="dxa"/>
            <w:gridSpan w:val="3"/>
            <w:tcBorders>
              <w:top w:val="single" w:color="auto" w:sz="4" w:space="0"/>
              <w:left w:val="nil"/>
              <w:bottom w:val="single" w:color="auto" w:sz="4" w:space="0"/>
              <w:right w:val="single" w:color="000000" w:sz="4" w:space="0"/>
            </w:tcBorders>
            <w:vAlign w:val="center"/>
          </w:tcPr>
          <w:p w14:paraId="191E972A">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我方法定代表人或董监高情况</w:t>
            </w:r>
          </w:p>
        </w:tc>
      </w:tr>
      <w:tr w14:paraId="1D5CD318">
        <w:tblPrEx>
          <w:tblCellMar>
            <w:top w:w="0" w:type="dxa"/>
            <w:left w:w="108" w:type="dxa"/>
            <w:bottom w:w="0" w:type="dxa"/>
            <w:right w:w="108" w:type="dxa"/>
          </w:tblCellMar>
        </w:tblPrEx>
        <w:trPr>
          <w:trHeight w:val="434" w:hRule="atLeast"/>
          <w:jc w:val="center"/>
        </w:trPr>
        <w:tc>
          <w:tcPr>
            <w:tcW w:w="731" w:type="dxa"/>
            <w:vMerge w:val="continue"/>
            <w:tcBorders>
              <w:left w:val="single" w:color="auto" w:sz="4" w:space="0"/>
              <w:bottom w:val="single" w:color="auto" w:sz="4" w:space="0"/>
              <w:right w:val="single" w:color="auto" w:sz="4" w:space="0"/>
            </w:tcBorders>
            <w:vAlign w:val="center"/>
          </w:tcPr>
          <w:p w14:paraId="308892DA">
            <w:pPr>
              <w:widowControl/>
              <w:jc w:val="center"/>
              <w:rPr>
                <w:rFonts w:ascii="仿宋_GB2312" w:hAnsi="仿宋_GB2312" w:eastAsia="仿宋_GB2312" w:cs="仿宋_GB2312"/>
                <w:b/>
                <w:bCs/>
                <w:kern w:val="0"/>
                <w:highlight w:val="none"/>
              </w:rPr>
            </w:pPr>
          </w:p>
        </w:tc>
        <w:tc>
          <w:tcPr>
            <w:tcW w:w="737" w:type="dxa"/>
            <w:tcBorders>
              <w:top w:val="single" w:color="auto" w:sz="4" w:space="0"/>
              <w:left w:val="single" w:color="auto" w:sz="4" w:space="0"/>
              <w:bottom w:val="single" w:color="auto" w:sz="4" w:space="0"/>
              <w:right w:val="single" w:color="auto" w:sz="4" w:space="0"/>
            </w:tcBorders>
            <w:vAlign w:val="center"/>
          </w:tcPr>
          <w:p w14:paraId="42407B8E">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1548" w:type="dxa"/>
            <w:tcBorders>
              <w:top w:val="single" w:color="auto" w:sz="4" w:space="0"/>
              <w:left w:val="single" w:color="auto" w:sz="4" w:space="0"/>
              <w:bottom w:val="single" w:color="auto" w:sz="4" w:space="0"/>
              <w:right w:val="single" w:color="auto" w:sz="4" w:space="0"/>
            </w:tcBorders>
            <w:vAlign w:val="center"/>
          </w:tcPr>
          <w:p w14:paraId="362BECB3">
            <w:pPr>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单位</w:t>
            </w:r>
          </w:p>
        </w:tc>
        <w:tc>
          <w:tcPr>
            <w:tcW w:w="1293" w:type="dxa"/>
            <w:tcBorders>
              <w:top w:val="single" w:color="auto" w:sz="4" w:space="0"/>
              <w:left w:val="single" w:color="auto" w:sz="4" w:space="0"/>
              <w:bottom w:val="single" w:color="auto" w:sz="4" w:space="0"/>
              <w:right w:val="single" w:color="auto" w:sz="4" w:space="0"/>
            </w:tcBorders>
            <w:vAlign w:val="center"/>
          </w:tcPr>
          <w:p w14:paraId="4074BAE4">
            <w:pPr>
              <w:widowControl/>
              <w:jc w:val="center"/>
              <w:rPr>
                <w:rFonts w:eastAsia="宋体"/>
                <w:highlight w:val="none"/>
              </w:rPr>
            </w:pPr>
            <w:r>
              <w:rPr>
                <w:rFonts w:hint="eastAsia" w:ascii="仿宋_GB2312" w:hAnsi="仿宋_GB2312" w:eastAsia="仿宋_GB2312" w:cs="仿宋_GB2312"/>
                <w:b/>
                <w:bCs/>
                <w:kern w:val="0"/>
                <w:highlight w:val="none"/>
              </w:rPr>
              <w:t>部门</w:t>
            </w:r>
          </w:p>
        </w:tc>
        <w:tc>
          <w:tcPr>
            <w:tcW w:w="1502" w:type="dxa"/>
            <w:tcBorders>
              <w:top w:val="single" w:color="auto" w:sz="4" w:space="0"/>
              <w:left w:val="single" w:color="auto" w:sz="4" w:space="0"/>
              <w:bottom w:val="single" w:color="auto" w:sz="4" w:space="0"/>
              <w:right w:val="single" w:color="auto" w:sz="4" w:space="0"/>
            </w:tcBorders>
            <w:vAlign w:val="center"/>
          </w:tcPr>
          <w:p w14:paraId="0D097941">
            <w:pPr>
              <w:widowControl/>
              <w:jc w:val="center"/>
              <w:rPr>
                <w:rFonts w:eastAsia="宋体"/>
                <w:highlight w:val="none"/>
              </w:rPr>
            </w:pPr>
            <w:r>
              <w:rPr>
                <w:rFonts w:hint="eastAsia" w:ascii="仿宋_GB2312" w:hAnsi="仿宋_GB2312" w:eastAsia="仿宋_GB2312" w:cs="仿宋_GB2312"/>
                <w:b/>
                <w:bCs/>
                <w:kern w:val="0"/>
                <w:highlight w:val="none"/>
              </w:rPr>
              <w:t>职务/岗位</w:t>
            </w:r>
          </w:p>
        </w:tc>
        <w:tc>
          <w:tcPr>
            <w:tcW w:w="1468" w:type="dxa"/>
            <w:tcBorders>
              <w:top w:val="single" w:color="auto" w:sz="4" w:space="0"/>
              <w:left w:val="nil"/>
              <w:bottom w:val="single" w:color="auto" w:sz="4" w:space="0"/>
              <w:right w:val="single" w:color="auto" w:sz="4" w:space="0"/>
            </w:tcBorders>
            <w:vAlign w:val="center"/>
          </w:tcPr>
          <w:p w14:paraId="7678DDAB">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与中国电信员工的关系</w:t>
            </w:r>
          </w:p>
        </w:tc>
        <w:tc>
          <w:tcPr>
            <w:tcW w:w="947" w:type="dxa"/>
            <w:tcBorders>
              <w:top w:val="single" w:color="auto" w:sz="4" w:space="0"/>
              <w:left w:val="single" w:color="auto" w:sz="4" w:space="0"/>
              <w:bottom w:val="single" w:color="auto" w:sz="4" w:space="0"/>
              <w:right w:val="single" w:color="auto" w:sz="4" w:space="0"/>
            </w:tcBorders>
            <w:noWrap/>
            <w:vAlign w:val="center"/>
          </w:tcPr>
          <w:p w14:paraId="4637592B">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姓名</w:t>
            </w:r>
          </w:p>
        </w:tc>
        <w:tc>
          <w:tcPr>
            <w:tcW w:w="1769" w:type="dxa"/>
            <w:tcBorders>
              <w:top w:val="nil"/>
              <w:left w:val="nil"/>
              <w:bottom w:val="single" w:color="auto" w:sz="4" w:space="0"/>
              <w:right w:val="single" w:color="auto" w:sz="4" w:space="0"/>
            </w:tcBorders>
            <w:noWrap/>
            <w:vAlign w:val="center"/>
          </w:tcPr>
          <w:p w14:paraId="7FAC2331">
            <w:pPr>
              <w:widowControl/>
              <w:jc w:val="center"/>
              <w:rPr>
                <w:rFonts w:ascii="仿宋_GB2312" w:hAnsi="仿宋_GB2312" w:eastAsia="仿宋_GB2312" w:cs="仿宋_GB2312"/>
                <w:b/>
                <w:bCs/>
                <w:kern w:val="0"/>
                <w:highlight w:val="none"/>
              </w:rPr>
            </w:pPr>
            <w:r>
              <w:rPr>
                <w:rFonts w:hint="eastAsia" w:ascii="仿宋_GB2312" w:hAnsi="仿宋_GB2312" w:eastAsia="仿宋_GB2312" w:cs="仿宋_GB2312"/>
                <w:b/>
                <w:bCs/>
                <w:kern w:val="0"/>
                <w:highlight w:val="none"/>
              </w:rPr>
              <w:t>担任我方职务</w:t>
            </w:r>
          </w:p>
        </w:tc>
      </w:tr>
      <w:tr w14:paraId="44AC8349">
        <w:tblPrEx>
          <w:tblCellMar>
            <w:top w:w="0" w:type="dxa"/>
            <w:left w:w="108" w:type="dxa"/>
            <w:bottom w:w="0" w:type="dxa"/>
            <w:right w:w="108" w:type="dxa"/>
          </w:tblCellMar>
        </w:tblPrEx>
        <w:trPr>
          <w:trHeight w:val="407" w:hRule="atLeast"/>
          <w:jc w:val="center"/>
        </w:trPr>
        <w:tc>
          <w:tcPr>
            <w:tcW w:w="731" w:type="dxa"/>
            <w:tcBorders>
              <w:top w:val="nil"/>
              <w:left w:val="single" w:color="auto" w:sz="4" w:space="0"/>
              <w:bottom w:val="single" w:color="auto" w:sz="4" w:space="0"/>
              <w:right w:val="single" w:color="auto" w:sz="4" w:space="0"/>
            </w:tcBorders>
            <w:noWrap/>
            <w:vAlign w:val="center"/>
          </w:tcPr>
          <w:p w14:paraId="3BB969B8">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37" w:type="dxa"/>
            <w:tcBorders>
              <w:top w:val="nil"/>
              <w:left w:val="nil"/>
              <w:bottom w:val="single" w:color="auto" w:sz="4" w:space="0"/>
              <w:right w:val="single" w:color="auto" w:sz="4" w:space="0"/>
            </w:tcBorders>
            <w:noWrap/>
            <w:vAlign w:val="center"/>
          </w:tcPr>
          <w:p w14:paraId="50696AF1">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张三</w:t>
            </w:r>
          </w:p>
        </w:tc>
        <w:tc>
          <w:tcPr>
            <w:tcW w:w="1548" w:type="dxa"/>
            <w:tcBorders>
              <w:top w:val="nil"/>
              <w:left w:val="nil"/>
              <w:bottom w:val="single" w:color="auto" w:sz="4" w:space="0"/>
              <w:right w:val="single" w:color="auto" w:sz="4" w:space="0"/>
            </w:tcBorders>
            <w:noWrap/>
            <w:vAlign w:val="center"/>
          </w:tcPr>
          <w:p w14:paraId="174EEE29">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1293" w:type="dxa"/>
            <w:tcBorders>
              <w:top w:val="nil"/>
              <w:left w:val="nil"/>
              <w:bottom w:val="single" w:color="auto" w:sz="4" w:space="0"/>
              <w:right w:val="single" w:color="auto" w:sz="4" w:space="0"/>
            </w:tcBorders>
            <w:noWrap/>
            <w:vAlign w:val="center"/>
          </w:tcPr>
          <w:p w14:paraId="6D5CE71C">
            <w:pPr>
              <w:widowControl/>
              <w:jc w:val="center"/>
              <w:rPr>
                <w:rFonts w:eastAsia="宋体"/>
                <w:highlight w:val="none"/>
              </w:rPr>
            </w:pPr>
            <w:r>
              <w:rPr>
                <w:rFonts w:hint="eastAsia" w:ascii="仿宋_GB2312" w:hAnsi="仿宋_GB2312" w:eastAsia="仿宋_GB2312" w:cs="仿宋_GB2312"/>
                <w:kern w:val="0"/>
                <w:highlight w:val="none"/>
              </w:rPr>
              <w:t>XX部</w:t>
            </w:r>
          </w:p>
        </w:tc>
        <w:tc>
          <w:tcPr>
            <w:tcW w:w="1502" w:type="dxa"/>
            <w:tcBorders>
              <w:top w:val="nil"/>
              <w:left w:val="nil"/>
              <w:bottom w:val="single" w:color="auto" w:sz="4" w:space="0"/>
              <w:right w:val="single" w:color="auto" w:sz="4" w:space="0"/>
            </w:tcBorders>
            <w:noWrap/>
            <w:vAlign w:val="center"/>
          </w:tcPr>
          <w:p w14:paraId="763FAC12">
            <w:pPr>
              <w:widowControl/>
              <w:jc w:val="center"/>
              <w:rPr>
                <w:rFonts w:eastAsia="宋体"/>
                <w:highlight w:val="none"/>
              </w:rPr>
            </w:pPr>
            <w:r>
              <w:rPr>
                <w:rFonts w:hint="eastAsia" w:ascii="仿宋_GB2312" w:hAnsi="仿宋_GB2312" w:eastAsia="仿宋_GB2312" w:cs="仿宋_GB2312"/>
                <w:kern w:val="0"/>
                <w:highlight w:val="none"/>
              </w:rPr>
              <w:t>总经理</w:t>
            </w:r>
          </w:p>
        </w:tc>
        <w:tc>
          <w:tcPr>
            <w:tcW w:w="1468" w:type="dxa"/>
            <w:tcBorders>
              <w:top w:val="single" w:color="auto" w:sz="4" w:space="0"/>
              <w:left w:val="nil"/>
              <w:bottom w:val="single" w:color="auto" w:sz="4" w:space="0"/>
              <w:right w:val="single" w:color="auto" w:sz="4" w:space="0"/>
            </w:tcBorders>
            <w:vAlign w:val="center"/>
          </w:tcPr>
          <w:p w14:paraId="07FC9D02">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妻子</w:t>
            </w:r>
          </w:p>
        </w:tc>
        <w:tc>
          <w:tcPr>
            <w:tcW w:w="947" w:type="dxa"/>
            <w:tcBorders>
              <w:top w:val="single" w:color="auto" w:sz="4" w:space="0"/>
              <w:left w:val="single" w:color="auto" w:sz="4" w:space="0"/>
              <w:bottom w:val="single" w:color="auto" w:sz="4" w:space="0"/>
              <w:right w:val="single" w:color="auto" w:sz="4" w:space="0"/>
            </w:tcBorders>
            <w:noWrap/>
            <w:vAlign w:val="center"/>
          </w:tcPr>
          <w:p w14:paraId="1AF20ECD">
            <w:pPr>
              <w:widowControl/>
              <w:jc w:val="center"/>
              <w:rPr>
                <w:rFonts w:ascii="仿宋_GB2312" w:hAnsi="等线" w:eastAsia="仿宋_GB2312" w:cs="宋体"/>
                <w:i/>
                <w:iCs/>
                <w:kern w:val="0"/>
                <w:sz w:val="20"/>
                <w:highlight w:val="none"/>
              </w:rPr>
            </w:pPr>
            <w:r>
              <w:rPr>
                <w:rFonts w:hint="eastAsia" w:ascii="仿宋_GB2312" w:hAnsi="仿宋_GB2312" w:eastAsia="仿宋_GB2312" w:cs="仿宋_GB2312"/>
                <w:kern w:val="0"/>
                <w:highlight w:val="none"/>
              </w:rPr>
              <w:t>王五</w:t>
            </w:r>
          </w:p>
        </w:tc>
        <w:tc>
          <w:tcPr>
            <w:tcW w:w="1769" w:type="dxa"/>
            <w:tcBorders>
              <w:top w:val="nil"/>
              <w:left w:val="nil"/>
              <w:bottom w:val="single" w:color="auto" w:sz="4" w:space="0"/>
              <w:right w:val="single" w:color="auto" w:sz="4" w:space="0"/>
            </w:tcBorders>
            <w:noWrap/>
            <w:vAlign w:val="center"/>
          </w:tcPr>
          <w:p w14:paraId="74542F61">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法定代表人</w:t>
            </w:r>
          </w:p>
        </w:tc>
      </w:tr>
      <w:tr w14:paraId="45E462EF">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36A34D4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示例</w:t>
            </w:r>
          </w:p>
        </w:tc>
        <w:tc>
          <w:tcPr>
            <w:tcW w:w="737" w:type="dxa"/>
            <w:tcBorders>
              <w:top w:val="nil"/>
              <w:left w:val="nil"/>
              <w:bottom w:val="single" w:color="auto" w:sz="4" w:space="0"/>
              <w:right w:val="single" w:color="auto" w:sz="4" w:space="0"/>
            </w:tcBorders>
            <w:noWrap/>
            <w:vAlign w:val="center"/>
          </w:tcPr>
          <w:p w14:paraId="2684563A">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李四</w:t>
            </w:r>
          </w:p>
        </w:tc>
        <w:tc>
          <w:tcPr>
            <w:tcW w:w="1548" w:type="dxa"/>
            <w:tcBorders>
              <w:top w:val="nil"/>
              <w:left w:val="nil"/>
              <w:bottom w:val="single" w:color="auto" w:sz="4" w:space="0"/>
              <w:right w:val="single" w:color="auto" w:sz="4" w:space="0"/>
            </w:tcBorders>
            <w:noWrap/>
            <w:vAlign w:val="center"/>
          </w:tcPr>
          <w:p w14:paraId="04C6D956">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XX公司</w:t>
            </w:r>
          </w:p>
        </w:tc>
        <w:tc>
          <w:tcPr>
            <w:tcW w:w="1293" w:type="dxa"/>
            <w:tcBorders>
              <w:top w:val="nil"/>
              <w:left w:val="nil"/>
              <w:bottom w:val="single" w:color="auto" w:sz="4" w:space="0"/>
              <w:right w:val="single" w:color="auto" w:sz="4" w:space="0"/>
            </w:tcBorders>
            <w:noWrap/>
            <w:vAlign w:val="center"/>
          </w:tcPr>
          <w:p w14:paraId="1D4E951E">
            <w:pPr>
              <w:widowControl/>
              <w:jc w:val="center"/>
              <w:rPr>
                <w:rFonts w:eastAsia="宋体"/>
                <w:highlight w:val="none"/>
              </w:rPr>
            </w:pPr>
            <w:r>
              <w:rPr>
                <w:rFonts w:hint="eastAsia" w:ascii="仿宋_GB2312" w:hAnsi="仿宋_GB2312" w:eastAsia="仿宋_GB2312" w:cs="仿宋_GB2312"/>
                <w:kern w:val="0"/>
                <w:highlight w:val="none"/>
              </w:rPr>
              <w:t>XX部</w:t>
            </w:r>
          </w:p>
        </w:tc>
        <w:tc>
          <w:tcPr>
            <w:tcW w:w="1502" w:type="dxa"/>
            <w:tcBorders>
              <w:top w:val="nil"/>
              <w:left w:val="nil"/>
              <w:bottom w:val="single" w:color="auto" w:sz="4" w:space="0"/>
              <w:right w:val="single" w:color="auto" w:sz="4" w:space="0"/>
            </w:tcBorders>
            <w:noWrap/>
            <w:vAlign w:val="center"/>
          </w:tcPr>
          <w:p w14:paraId="4B591AC5">
            <w:pPr>
              <w:widowControl/>
              <w:jc w:val="center"/>
              <w:rPr>
                <w:rFonts w:eastAsia="宋体"/>
                <w:highlight w:val="none"/>
              </w:rPr>
            </w:pPr>
            <w:r>
              <w:rPr>
                <w:rFonts w:hint="eastAsia" w:ascii="仿宋_GB2312" w:hAnsi="仿宋_GB2312" w:eastAsia="仿宋_GB2312" w:cs="仿宋_GB2312"/>
                <w:kern w:val="0"/>
                <w:highlight w:val="none"/>
              </w:rPr>
              <w:t>采购管理</w:t>
            </w:r>
          </w:p>
        </w:tc>
        <w:tc>
          <w:tcPr>
            <w:tcW w:w="1468" w:type="dxa"/>
            <w:tcBorders>
              <w:top w:val="single" w:color="auto" w:sz="4" w:space="0"/>
              <w:left w:val="nil"/>
              <w:bottom w:val="single" w:color="auto" w:sz="4" w:space="0"/>
              <w:right w:val="single" w:color="auto" w:sz="4" w:space="0"/>
            </w:tcBorders>
            <w:vAlign w:val="center"/>
          </w:tcPr>
          <w:p w14:paraId="23A2A1BF">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儿子</w:t>
            </w:r>
          </w:p>
        </w:tc>
        <w:tc>
          <w:tcPr>
            <w:tcW w:w="947" w:type="dxa"/>
            <w:tcBorders>
              <w:top w:val="single" w:color="auto" w:sz="4" w:space="0"/>
              <w:left w:val="single" w:color="auto" w:sz="4" w:space="0"/>
              <w:bottom w:val="single" w:color="auto" w:sz="4" w:space="0"/>
              <w:right w:val="single" w:color="auto" w:sz="4" w:space="0"/>
            </w:tcBorders>
            <w:noWrap/>
            <w:vAlign w:val="center"/>
          </w:tcPr>
          <w:p w14:paraId="57FF2870">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赵六</w:t>
            </w:r>
          </w:p>
        </w:tc>
        <w:tc>
          <w:tcPr>
            <w:tcW w:w="1769" w:type="dxa"/>
            <w:tcBorders>
              <w:top w:val="nil"/>
              <w:left w:val="nil"/>
              <w:bottom w:val="single" w:color="auto" w:sz="4" w:space="0"/>
              <w:right w:val="single" w:color="auto" w:sz="4" w:space="0"/>
            </w:tcBorders>
            <w:noWrap/>
            <w:vAlign w:val="center"/>
          </w:tcPr>
          <w:p w14:paraId="246D7D79">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董事</w:t>
            </w:r>
          </w:p>
        </w:tc>
      </w:tr>
      <w:tr w14:paraId="280709F3">
        <w:tblPrEx>
          <w:tblCellMar>
            <w:top w:w="0" w:type="dxa"/>
            <w:left w:w="108" w:type="dxa"/>
            <w:bottom w:w="0" w:type="dxa"/>
            <w:right w:w="108" w:type="dxa"/>
          </w:tblCellMar>
        </w:tblPrEx>
        <w:trPr>
          <w:trHeight w:val="332" w:hRule="atLeast"/>
          <w:jc w:val="center"/>
        </w:trPr>
        <w:tc>
          <w:tcPr>
            <w:tcW w:w="731" w:type="dxa"/>
            <w:tcBorders>
              <w:top w:val="nil"/>
              <w:left w:val="single" w:color="auto" w:sz="4" w:space="0"/>
              <w:bottom w:val="single" w:color="auto" w:sz="4" w:space="0"/>
              <w:right w:val="single" w:color="auto" w:sz="4" w:space="0"/>
            </w:tcBorders>
            <w:noWrap/>
            <w:vAlign w:val="center"/>
          </w:tcPr>
          <w:p w14:paraId="038DCFDC">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1</w:t>
            </w:r>
          </w:p>
        </w:tc>
        <w:tc>
          <w:tcPr>
            <w:tcW w:w="737" w:type="dxa"/>
            <w:tcBorders>
              <w:top w:val="nil"/>
              <w:left w:val="nil"/>
              <w:bottom w:val="single" w:color="auto" w:sz="4" w:space="0"/>
              <w:right w:val="single" w:color="auto" w:sz="4" w:space="0"/>
            </w:tcBorders>
            <w:noWrap/>
            <w:vAlign w:val="center"/>
          </w:tcPr>
          <w:p w14:paraId="63BFB003">
            <w:pPr>
              <w:widowControl/>
              <w:jc w:val="center"/>
              <w:rPr>
                <w:rFonts w:ascii="仿宋_GB2312" w:hAnsi="仿宋_GB2312" w:eastAsia="仿宋_GB2312" w:cs="仿宋_GB2312"/>
                <w:kern w:val="0"/>
                <w:highlight w:val="none"/>
              </w:rPr>
            </w:pPr>
          </w:p>
        </w:tc>
        <w:tc>
          <w:tcPr>
            <w:tcW w:w="1548" w:type="dxa"/>
            <w:tcBorders>
              <w:top w:val="nil"/>
              <w:left w:val="nil"/>
              <w:bottom w:val="single" w:color="auto" w:sz="4" w:space="0"/>
              <w:right w:val="single" w:color="auto" w:sz="4" w:space="0"/>
            </w:tcBorders>
            <w:noWrap/>
            <w:vAlign w:val="center"/>
          </w:tcPr>
          <w:p w14:paraId="4BC50A7A">
            <w:pPr>
              <w:widowControl/>
              <w:jc w:val="center"/>
              <w:rPr>
                <w:rFonts w:ascii="仿宋_GB2312" w:hAnsi="仿宋_GB2312" w:eastAsia="仿宋_GB2312" w:cs="仿宋_GB2312"/>
                <w:kern w:val="0"/>
                <w:highlight w:val="none"/>
              </w:rPr>
            </w:pPr>
          </w:p>
        </w:tc>
        <w:tc>
          <w:tcPr>
            <w:tcW w:w="1293" w:type="dxa"/>
            <w:tcBorders>
              <w:top w:val="nil"/>
              <w:left w:val="nil"/>
              <w:bottom w:val="single" w:color="auto" w:sz="4" w:space="0"/>
              <w:right w:val="single" w:color="auto" w:sz="4" w:space="0"/>
            </w:tcBorders>
            <w:noWrap/>
            <w:vAlign w:val="center"/>
          </w:tcPr>
          <w:p w14:paraId="6D0C4006">
            <w:pPr>
              <w:widowControl/>
              <w:jc w:val="center"/>
              <w:rPr>
                <w:rFonts w:eastAsia="宋体"/>
                <w:highlight w:val="none"/>
              </w:rPr>
            </w:pPr>
          </w:p>
        </w:tc>
        <w:tc>
          <w:tcPr>
            <w:tcW w:w="1502" w:type="dxa"/>
            <w:tcBorders>
              <w:top w:val="nil"/>
              <w:left w:val="nil"/>
              <w:bottom w:val="single" w:color="auto" w:sz="4" w:space="0"/>
              <w:right w:val="single" w:color="auto" w:sz="4" w:space="0"/>
            </w:tcBorders>
            <w:noWrap/>
            <w:vAlign w:val="center"/>
          </w:tcPr>
          <w:p w14:paraId="1DA0D1C2">
            <w:pPr>
              <w:widowControl/>
              <w:jc w:val="center"/>
              <w:rPr>
                <w:rFonts w:eastAsia="宋体"/>
                <w:highlight w:val="none"/>
              </w:rPr>
            </w:pPr>
          </w:p>
        </w:tc>
        <w:tc>
          <w:tcPr>
            <w:tcW w:w="1468" w:type="dxa"/>
            <w:tcBorders>
              <w:top w:val="single" w:color="auto" w:sz="4" w:space="0"/>
              <w:left w:val="nil"/>
              <w:bottom w:val="single" w:color="auto" w:sz="4" w:space="0"/>
              <w:right w:val="single" w:color="auto" w:sz="4" w:space="0"/>
            </w:tcBorders>
            <w:vAlign w:val="center"/>
          </w:tcPr>
          <w:p w14:paraId="28D0D4FA">
            <w:pPr>
              <w:widowControl/>
              <w:jc w:val="center"/>
              <w:rPr>
                <w:rFonts w:ascii="仿宋_GB2312" w:hAnsi="仿宋_GB2312" w:eastAsia="仿宋_GB2312" w:cs="仿宋_GB2312"/>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6FC7C6FF">
            <w:pPr>
              <w:widowControl/>
              <w:jc w:val="center"/>
              <w:rPr>
                <w:rFonts w:ascii="仿宋_GB2312" w:hAnsi="仿宋_GB2312" w:eastAsia="仿宋_GB2312" w:cs="仿宋_GB2312"/>
                <w:kern w:val="0"/>
                <w:highlight w:val="none"/>
              </w:rPr>
            </w:pPr>
          </w:p>
        </w:tc>
        <w:tc>
          <w:tcPr>
            <w:tcW w:w="1769" w:type="dxa"/>
            <w:tcBorders>
              <w:top w:val="nil"/>
              <w:left w:val="nil"/>
              <w:bottom w:val="single" w:color="auto" w:sz="4" w:space="0"/>
              <w:right w:val="single" w:color="auto" w:sz="4" w:space="0"/>
            </w:tcBorders>
            <w:noWrap/>
            <w:vAlign w:val="center"/>
          </w:tcPr>
          <w:p w14:paraId="47E7FE2A">
            <w:pPr>
              <w:widowControl/>
              <w:jc w:val="center"/>
              <w:rPr>
                <w:rFonts w:ascii="仿宋_GB2312" w:hAnsi="仿宋_GB2312" w:eastAsia="仿宋_GB2312" w:cs="仿宋_GB2312"/>
                <w:kern w:val="0"/>
                <w:highlight w:val="none"/>
              </w:rPr>
            </w:pPr>
          </w:p>
        </w:tc>
      </w:tr>
      <w:tr w14:paraId="389F26B4">
        <w:trPr>
          <w:trHeight w:val="352" w:hRule="atLeast"/>
          <w:jc w:val="center"/>
        </w:trPr>
        <w:tc>
          <w:tcPr>
            <w:tcW w:w="731" w:type="dxa"/>
            <w:tcBorders>
              <w:top w:val="nil"/>
              <w:left w:val="single" w:color="auto" w:sz="4" w:space="0"/>
              <w:bottom w:val="single" w:color="auto" w:sz="4" w:space="0"/>
              <w:right w:val="single" w:color="auto" w:sz="4" w:space="0"/>
            </w:tcBorders>
            <w:noWrap/>
            <w:vAlign w:val="center"/>
          </w:tcPr>
          <w:p w14:paraId="1615BF8D">
            <w:pPr>
              <w:widowControl/>
              <w:jc w:val="center"/>
              <w:rPr>
                <w:rFonts w:ascii="仿宋_GB2312" w:hAnsi="仿宋_GB2312" w:eastAsia="仿宋_GB2312" w:cs="仿宋_GB2312"/>
                <w:kern w:val="0"/>
                <w:highlight w:val="none"/>
              </w:rPr>
            </w:pPr>
            <w:r>
              <w:rPr>
                <w:rFonts w:hint="eastAsia" w:ascii="仿宋_GB2312" w:hAnsi="仿宋_GB2312" w:eastAsia="仿宋_GB2312" w:cs="仿宋_GB2312"/>
                <w:kern w:val="0"/>
                <w:highlight w:val="none"/>
              </w:rPr>
              <w:t>2</w:t>
            </w:r>
          </w:p>
        </w:tc>
        <w:tc>
          <w:tcPr>
            <w:tcW w:w="737" w:type="dxa"/>
            <w:tcBorders>
              <w:top w:val="nil"/>
              <w:left w:val="nil"/>
              <w:bottom w:val="single" w:color="auto" w:sz="4" w:space="0"/>
              <w:right w:val="single" w:color="auto" w:sz="4" w:space="0"/>
            </w:tcBorders>
            <w:noWrap/>
            <w:vAlign w:val="center"/>
          </w:tcPr>
          <w:p w14:paraId="46350ACC">
            <w:pPr>
              <w:widowControl/>
              <w:jc w:val="center"/>
              <w:rPr>
                <w:rFonts w:ascii="仿宋_GB2312" w:hAnsi="仿宋_GB2312" w:eastAsia="仿宋_GB2312" w:cs="仿宋_GB2312"/>
                <w:kern w:val="0"/>
                <w:highlight w:val="none"/>
              </w:rPr>
            </w:pPr>
          </w:p>
        </w:tc>
        <w:tc>
          <w:tcPr>
            <w:tcW w:w="1548" w:type="dxa"/>
            <w:tcBorders>
              <w:top w:val="nil"/>
              <w:left w:val="nil"/>
              <w:bottom w:val="single" w:color="auto" w:sz="4" w:space="0"/>
              <w:right w:val="single" w:color="auto" w:sz="4" w:space="0"/>
            </w:tcBorders>
            <w:noWrap/>
            <w:vAlign w:val="center"/>
          </w:tcPr>
          <w:p w14:paraId="6E4AF409">
            <w:pPr>
              <w:widowControl/>
              <w:jc w:val="center"/>
              <w:rPr>
                <w:rFonts w:ascii="仿宋_GB2312" w:hAnsi="仿宋_GB2312" w:eastAsia="仿宋_GB2312" w:cs="仿宋_GB2312"/>
                <w:kern w:val="0"/>
                <w:highlight w:val="none"/>
              </w:rPr>
            </w:pPr>
          </w:p>
        </w:tc>
        <w:tc>
          <w:tcPr>
            <w:tcW w:w="1293" w:type="dxa"/>
            <w:tcBorders>
              <w:top w:val="nil"/>
              <w:left w:val="nil"/>
              <w:bottom w:val="single" w:color="auto" w:sz="4" w:space="0"/>
              <w:right w:val="single" w:color="auto" w:sz="4" w:space="0"/>
            </w:tcBorders>
            <w:noWrap/>
            <w:vAlign w:val="center"/>
          </w:tcPr>
          <w:p w14:paraId="68EB3397">
            <w:pPr>
              <w:widowControl/>
              <w:jc w:val="center"/>
              <w:rPr>
                <w:rFonts w:eastAsia="宋体"/>
                <w:highlight w:val="none"/>
              </w:rPr>
            </w:pPr>
          </w:p>
        </w:tc>
        <w:tc>
          <w:tcPr>
            <w:tcW w:w="1502" w:type="dxa"/>
            <w:tcBorders>
              <w:top w:val="nil"/>
              <w:left w:val="nil"/>
              <w:bottom w:val="single" w:color="auto" w:sz="4" w:space="0"/>
              <w:right w:val="single" w:color="auto" w:sz="4" w:space="0"/>
            </w:tcBorders>
            <w:noWrap/>
            <w:vAlign w:val="center"/>
          </w:tcPr>
          <w:p w14:paraId="3A14611A">
            <w:pPr>
              <w:widowControl/>
              <w:jc w:val="center"/>
              <w:rPr>
                <w:rFonts w:eastAsia="宋体"/>
                <w:highlight w:val="none"/>
              </w:rPr>
            </w:pPr>
          </w:p>
        </w:tc>
        <w:tc>
          <w:tcPr>
            <w:tcW w:w="1468" w:type="dxa"/>
            <w:tcBorders>
              <w:top w:val="single" w:color="auto" w:sz="4" w:space="0"/>
              <w:left w:val="nil"/>
              <w:bottom w:val="single" w:color="auto" w:sz="4" w:space="0"/>
              <w:right w:val="single" w:color="auto" w:sz="4" w:space="0"/>
            </w:tcBorders>
            <w:vAlign w:val="center"/>
          </w:tcPr>
          <w:p w14:paraId="42F497B6">
            <w:pPr>
              <w:widowControl/>
              <w:jc w:val="center"/>
              <w:rPr>
                <w:rFonts w:ascii="仿宋_GB2312" w:hAnsi="仿宋_GB2312" w:eastAsia="仿宋_GB2312" w:cs="仿宋_GB2312"/>
                <w:kern w:val="0"/>
                <w:highlight w:val="none"/>
              </w:rPr>
            </w:pPr>
          </w:p>
        </w:tc>
        <w:tc>
          <w:tcPr>
            <w:tcW w:w="947" w:type="dxa"/>
            <w:tcBorders>
              <w:top w:val="single" w:color="auto" w:sz="4" w:space="0"/>
              <w:left w:val="single" w:color="auto" w:sz="4" w:space="0"/>
              <w:bottom w:val="single" w:color="auto" w:sz="4" w:space="0"/>
              <w:right w:val="single" w:color="auto" w:sz="4" w:space="0"/>
            </w:tcBorders>
            <w:noWrap/>
            <w:vAlign w:val="center"/>
          </w:tcPr>
          <w:p w14:paraId="777AFF10">
            <w:pPr>
              <w:widowControl/>
              <w:jc w:val="center"/>
              <w:rPr>
                <w:rFonts w:ascii="仿宋_GB2312" w:hAnsi="仿宋_GB2312" w:eastAsia="仿宋_GB2312" w:cs="仿宋_GB2312"/>
                <w:kern w:val="0"/>
                <w:highlight w:val="none"/>
              </w:rPr>
            </w:pPr>
          </w:p>
        </w:tc>
        <w:tc>
          <w:tcPr>
            <w:tcW w:w="1769" w:type="dxa"/>
            <w:tcBorders>
              <w:top w:val="nil"/>
              <w:left w:val="nil"/>
              <w:bottom w:val="single" w:color="auto" w:sz="4" w:space="0"/>
              <w:right w:val="single" w:color="auto" w:sz="4" w:space="0"/>
            </w:tcBorders>
            <w:noWrap/>
            <w:vAlign w:val="center"/>
          </w:tcPr>
          <w:p w14:paraId="3EEEC364">
            <w:pPr>
              <w:widowControl/>
              <w:jc w:val="center"/>
              <w:rPr>
                <w:rFonts w:ascii="仿宋_GB2312" w:hAnsi="仿宋_GB2312" w:eastAsia="仿宋_GB2312" w:cs="仿宋_GB2312"/>
                <w:kern w:val="0"/>
                <w:highlight w:val="none"/>
              </w:rPr>
            </w:pPr>
          </w:p>
        </w:tc>
      </w:tr>
    </w:tbl>
    <w:p w14:paraId="7F94ED22">
      <w:pPr>
        <w:adjustRightInd w:val="0"/>
        <w:spacing w:line="360" w:lineRule="auto"/>
        <w:rPr>
          <w:rFonts w:cs="仿宋_GB2312" w:asciiTheme="minorEastAsia" w:hAnsiTheme="minorEastAsia" w:eastAsiaTheme="minorEastAsia"/>
          <w:highlight w:val="none"/>
        </w:rPr>
      </w:pPr>
    </w:p>
    <w:p w14:paraId="41B258A4">
      <w:pPr>
        <w:rPr>
          <w:rFonts w:hint="eastAsia" w:asciiTheme="minorEastAsia" w:hAnsiTheme="minorEastAsia" w:eastAsiaTheme="minorEastAsia"/>
          <w:szCs w:val="21"/>
        </w:rPr>
      </w:pPr>
      <w:r>
        <w:rPr>
          <w:rFonts w:hint="eastAsia" w:asciiTheme="minorEastAsia" w:hAnsiTheme="minorEastAsia" w:eastAsiaTheme="minorEastAsia"/>
          <w:szCs w:val="21"/>
        </w:rPr>
        <w:t>注：1.中国电信员工的近亲属包括中国电信员工的配偶、子女及其配偶；</w:t>
      </w:r>
    </w:p>
    <w:p w14:paraId="46B22719">
      <w:pPr>
        <w:ind w:firstLine="420" w:firstLineChars="0"/>
        <w:rPr>
          <w:rFonts w:hint="eastAsia" w:asciiTheme="minorEastAsia" w:hAnsiTheme="minorEastAsia" w:eastAsiaTheme="minorEastAsia"/>
          <w:szCs w:val="21"/>
        </w:rPr>
      </w:pPr>
      <w:r>
        <w:rPr>
          <w:rFonts w:hint="eastAsia" w:asciiTheme="minorEastAsia" w:hAnsiTheme="minorEastAsia" w:eastAsiaTheme="minorEastAsia"/>
          <w:szCs w:val="21"/>
        </w:rPr>
        <w:t>2.“与中国电信员工的关系”需填写与中国电信员工的具体亲属关系，例如，丈夫、妻子、儿子、女儿、儿媳、女婿；</w:t>
      </w:r>
    </w:p>
    <w:p w14:paraId="40743094">
      <w:pPr>
        <w:ind w:firstLine="420" w:firstLineChars="0"/>
        <w:rPr>
          <w:rFonts w:hint="eastAsia" w:asciiTheme="minorEastAsia" w:hAnsiTheme="minorEastAsia" w:eastAsiaTheme="minorEastAsia"/>
          <w:szCs w:val="21"/>
          <w:lang w:eastAsia="zh-CN"/>
        </w:rPr>
      </w:pPr>
      <w:r>
        <w:rPr>
          <w:rFonts w:hint="eastAsia" w:asciiTheme="minorEastAsia" w:hAnsiTheme="minorEastAsia" w:eastAsiaTheme="minorEastAsia"/>
          <w:szCs w:val="21"/>
        </w:rPr>
        <w:t>3.从业是指与中国电信集团系统内企业直接签订劳动合同的情形</w:t>
      </w:r>
      <w:r>
        <w:rPr>
          <w:rFonts w:hint="eastAsia" w:asciiTheme="minorEastAsia" w:hAnsiTheme="minorEastAsia" w:eastAsiaTheme="minorEastAsia"/>
          <w:szCs w:val="21"/>
          <w:lang w:eastAsia="zh-CN"/>
        </w:rPr>
        <w:t>；</w:t>
      </w:r>
    </w:p>
    <w:p w14:paraId="01A4427B">
      <w:pPr>
        <w:ind w:firstLine="420" w:firstLineChars="0"/>
        <w:rPr>
          <w:rFonts w:hint="eastAsia" w:asciiTheme="minorEastAsia" w:hAnsiTheme="minorEastAsia" w:eastAsiaTheme="minorEastAsia"/>
          <w:szCs w:val="21"/>
        </w:rPr>
      </w:pPr>
      <w:r>
        <w:rPr>
          <w:rFonts w:hint="eastAsia" w:asciiTheme="minorEastAsia" w:hAnsiTheme="minorEastAsia" w:eastAsiaTheme="minorEastAsia"/>
          <w:szCs w:val="21"/>
        </w:rPr>
        <w:t>4.如无上述情况，则应在第一行“姓名”列填写“不涉及”。</w:t>
      </w:r>
    </w:p>
    <w:p w14:paraId="0DC70FEA">
      <w:pPr>
        <w:adjustRightInd w:val="0"/>
        <w:spacing w:line="360" w:lineRule="auto"/>
        <w:rPr>
          <w:rFonts w:cs="仿宋_GB2312" w:asciiTheme="minorEastAsia" w:hAnsiTheme="minorEastAsia" w:eastAsiaTheme="minorEastAsia"/>
          <w:highlight w:val="none"/>
        </w:rPr>
      </w:pPr>
    </w:p>
    <w:p w14:paraId="2807C052">
      <w:pPr>
        <w:adjustRightInd w:val="0"/>
        <w:spacing w:line="360" w:lineRule="auto"/>
        <w:ind w:firstLine="420" w:firstLineChars="200"/>
        <w:rPr>
          <w:rFonts w:cs="仿宋_GB2312" w:asciiTheme="minorEastAsia" w:hAnsiTheme="minorEastAsia" w:eastAsiaTheme="minorEastAsia"/>
          <w:highlight w:val="none"/>
        </w:rPr>
      </w:pPr>
      <w:r>
        <w:rPr>
          <w:rFonts w:hint="eastAsia" w:cs="仿宋_GB2312" w:asciiTheme="minorEastAsia" w:hAnsiTheme="minorEastAsia" w:eastAsiaTheme="minorEastAsia"/>
          <w:highlight w:val="none"/>
        </w:rPr>
        <w:t>本承诺作为响应文件的一部分，我方承诺相关信息真实、准确。</w:t>
      </w:r>
    </w:p>
    <w:p w14:paraId="3BD60BBA">
      <w:pPr>
        <w:spacing w:line="360" w:lineRule="auto"/>
        <w:ind w:firstLine="420" w:firstLineChars="200"/>
        <w:jc w:val="right"/>
        <w:rPr>
          <w:rFonts w:asciiTheme="minorEastAsia" w:hAnsiTheme="minorEastAsia" w:eastAsiaTheme="minorEastAsia"/>
          <w:szCs w:val="22"/>
          <w:highlight w:val="none"/>
          <w:u w:val="single"/>
        </w:rPr>
      </w:pPr>
      <w:r>
        <w:rPr>
          <w:rFonts w:hint="eastAsia" w:asciiTheme="minorEastAsia" w:hAnsiTheme="minorEastAsia" w:eastAsiaTheme="minorEastAsia"/>
          <w:szCs w:val="22"/>
          <w:highlight w:val="none"/>
          <w:u w:val="single"/>
        </w:rPr>
        <w:t>公司名称（盖章）</w:t>
      </w:r>
    </w:p>
    <w:p w14:paraId="44134636">
      <w:pPr>
        <w:spacing w:line="360" w:lineRule="auto"/>
        <w:ind w:firstLine="420" w:firstLineChars="200"/>
        <w:jc w:val="right"/>
        <w:rPr>
          <w:rFonts w:eastAsia="宋体"/>
          <w:b/>
          <w:bCs/>
          <w:sz w:val="24"/>
          <w:highlight w:val="none"/>
        </w:rPr>
      </w:pPr>
      <w:r>
        <w:rPr>
          <w:rFonts w:hint="eastAsia" w:asciiTheme="minorEastAsia" w:hAnsiTheme="minorEastAsia" w:eastAsiaTheme="minorEastAsia"/>
          <w:szCs w:val="22"/>
          <w:highlight w:val="none"/>
          <w:u w:val="single"/>
        </w:rPr>
        <w:t>XXXX年XX月XX日</w:t>
      </w:r>
    </w:p>
    <w:p w14:paraId="338CE9E4">
      <w:pPr>
        <w:jc w:val="center"/>
        <w:rPr>
          <w:rFonts w:ascii="微软雅黑" w:hAnsi="微软雅黑" w:eastAsia="微软雅黑"/>
          <w:b/>
          <w:szCs w:val="36"/>
          <w:highlight w:val="none"/>
        </w:rPr>
      </w:pPr>
    </w:p>
    <w:p w14:paraId="13B25576">
      <w:pPr>
        <w:jc w:val="center"/>
        <w:rPr>
          <w:rFonts w:ascii="微软雅黑" w:hAnsi="微软雅黑" w:eastAsia="微软雅黑"/>
          <w:b/>
          <w:szCs w:val="36"/>
          <w:highlight w:val="none"/>
        </w:rPr>
      </w:pPr>
      <w:r>
        <w:rPr>
          <w:rFonts w:hint="eastAsia" w:ascii="微软雅黑" w:hAnsi="微软雅黑" w:eastAsia="微软雅黑"/>
          <w:b/>
          <w:szCs w:val="36"/>
          <w:highlight w:val="none"/>
        </w:rPr>
        <w:t>承诺函</w:t>
      </w:r>
    </w:p>
    <w:p w14:paraId="110B3A29">
      <w:pPr>
        <w:topLinePunct/>
        <w:snapToGrid w:val="0"/>
        <w:spacing w:line="400" w:lineRule="exact"/>
        <w:rPr>
          <w:rFonts w:hAnsi="宋体" w:eastAsia="宋体" w:cs="宋体"/>
          <w:highlight w:val="none"/>
        </w:rPr>
      </w:pPr>
    </w:p>
    <w:p w14:paraId="3971E20B">
      <w:pPr>
        <w:topLinePunct/>
        <w:snapToGrid w:val="0"/>
        <w:spacing w:line="400" w:lineRule="exact"/>
        <w:rPr>
          <w:rFonts w:asciiTheme="minorEastAsia" w:hAnsiTheme="minorEastAsia" w:eastAsiaTheme="minorEastAsia"/>
        </w:rPr>
      </w:pPr>
      <w:r>
        <w:rPr>
          <w:rFonts w:hint="eastAsia" w:asciiTheme="minorEastAsia" w:hAnsiTheme="minorEastAsia" w:eastAsiaTheme="minorEastAsia"/>
          <w:szCs w:val="21"/>
        </w:rPr>
        <w:t>致：【XX公司[</w:t>
      </w:r>
      <w:r>
        <w:rPr>
          <w:rFonts w:hint="eastAsia" w:asciiTheme="minorEastAsia" w:hAnsiTheme="minorEastAsia" w:eastAsiaTheme="minorEastAsia"/>
          <w:szCs w:val="21"/>
          <w:lang w:val="en-US" w:eastAsia="zh-CN"/>
        </w:rPr>
        <w:t>采购</w:t>
      </w:r>
      <w:r>
        <w:rPr>
          <w:rFonts w:hint="eastAsia" w:asciiTheme="minorEastAsia" w:hAnsiTheme="minorEastAsia" w:eastAsiaTheme="minorEastAsia"/>
          <w:szCs w:val="21"/>
        </w:rPr>
        <w:t>人名称]】：</w:t>
      </w:r>
    </w:p>
    <w:p w14:paraId="7E6FC029">
      <w:pPr>
        <w:topLinePunct/>
        <w:snapToGrid w:val="0"/>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我方存在“中国电信在职员工、离职或退休后三年内在我方担任法定代表人或董监高的情况”、“中国电信员工近亲属在我方担任法定代表人或董监高的情况”的相关情形，现郑重承诺如下：</w:t>
      </w:r>
    </w:p>
    <w:p w14:paraId="03E3AB5C">
      <w:pPr>
        <w:topLinePunct/>
        <w:snapToGrid w:val="0"/>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一、相关情形不属于</w:t>
      </w:r>
      <w:r>
        <w:rPr>
          <w:rFonts w:hint="eastAsia" w:asciiTheme="minorEastAsia" w:hAnsiTheme="minorEastAsia" w:eastAsiaTheme="minorEastAsia"/>
          <w:szCs w:val="21"/>
          <w:lang w:val="en-US" w:eastAsia="zh-CN"/>
        </w:rPr>
        <w:t>询比</w:t>
      </w:r>
      <w:r>
        <w:rPr>
          <w:rFonts w:hint="eastAsia" w:asciiTheme="minorEastAsia" w:hAnsiTheme="minorEastAsia" w:eastAsiaTheme="minorEastAsia"/>
          <w:szCs w:val="21"/>
        </w:rPr>
        <w:t>文件第一章中载明的</w:t>
      </w:r>
      <w:r>
        <w:rPr>
          <w:rFonts w:hint="eastAsia" w:asciiTheme="minorEastAsia" w:hAnsiTheme="minorEastAsia" w:eastAsiaTheme="minorEastAsia"/>
          <w:szCs w:val="21"/>
          <w:lang w:val="en-US" w:eastAsia="zh-CN"/>
        </w:rPr>
        <w:t>参选</w:t>
      </w:r>
      <w:r>
        <w:rPr>
          <w:rFonts w:hint="eastAsia" w:asciiTheme="minorEastAsia" w:hAnsiTheme="minorEastAsia" w:eastAsiaTheme="minorEastAsia"/>
          <w:szCs w:val="21"/>
        </w:rPr>
        <w:t>人不得存在的情形。</w:t>
      </w:r>
    </w:p>
    <w:p w14:paraId="22BDC2D3">
      <w:pPr>
        <w:topLinePunct/>
        <w:snapToGrid w:val="0"/>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二、不通过特殊关系或其他不正当手段干预中国电信的招标流程或结果，不与中国电信内部人员存在任何形式的串通投标、虚假投标等违规行为。</w:t>
      </w:r>
    </w:p>
    <w:p w14:paraId="671555FB">
      <w:pPr>
        <w:topLinePunct/>
        <w:snapToGrid w:val="0"/>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三、严格遵守中国电信及国家相关廉洁从业规定，不利用特定关系为我方或任何第三方谋取不正当利益、获取竞争优势。</w:t>
      </w:r>
    </w:p>
    <w:p w14:paraId="62D6D928">
      <w:pPr>
        <w:topLinePunct/>
        <w:snapToGrid w:val="0"/>
        <w:spacing w:line="440" w:lineRule="exact"/>
        <w:ind w:firstLine="420" w:firstLineChars="200"/>
        <w:rPr>
          <w:rFonts w:hAnsi="宋体" w:eastAsia="宋体" w:cs="宋体"/>
          <w:highlight w:val="none"/>
        </w:rPr>
      </w:pPr>
    </w:p>
    <w:p w14:paraId="4D3C4285">
      <w:pPr>
        <w:topLinePunct/>
        <w:snapToGrid w:val="0"/>
        <w:spacing w:line="40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如发生任何违反本承诺及其他影响公平公正的违法违规行为，我方自愿接受按法律法规、中国电信相关采购及供应商管理制度的处罚。</w:t>
      </w:r>
    </w:p>
    <w:p w14:paraId="5DE592AD">
      <w:pPr>
        <w:topLinePunct/>
        <w:snapToGrid w:val="0"/>
        <w:spacing w:line="400" w:lineRule="exact"/>
        <w:ind w:firstLine="420" w:firstLineChars="200"/>
        <w:rPr>
          <w:rFonts w:hAnsi="宋体" w:eastAsia="宋体" w:cs="宋体"/>
          <w:highlight w:val="none"/>
        </w:rPr>
      </w:pPr>
      <w:r>
        <w:rPr>
          <w:rFonts w:hAnsi="宋体" w:eastAsia="宋体" w:cs="宋体"/>
          <w:highlight w:val="none"/>
        </w:rPr>
        <w:t xml:space="preserve"> </w:t>
      </w:r>
    </w:p>
    <w:p w14:paraId="559E489C">
      <w:pPr>
        <w:rPr>
          <w:rFonts w:hAnsi="宋体" w:eastAsia="宋体" w:cs="宋体"/>
          <w:highlight w:val="none"/>
        </w:rPr>
      </w:pPr>
    </w:p>
    <w:p w14:paraId="509E3EDC">
      <w:pPr>
        <w:spacing w:line="440" w:lineRule="exact"/>
        <w:rPr>
          <w:rFonts w:hAnsi="宋体" w:eastAsia="宋体" w:cs="宋体"/>
          <w:highlight w:val="none"/>
          <w:u w:val="single"/>
        </w:rPr>
      </w:pPr>
      <w:r>
        <w:rPr>
          <w:rFonts w:hint="eastAsia" w:hAnsi="宋体" w:eastAsia="宋体" w:cs="宋体"/>
          <w:highlight w:val="none"/>
          <w:lang w:val="en-US" w:eastAsia="zh-CN"/>
        </w:rPr>
        <w:t>供应商</w:t>
      </w:r>
      <w:r>
        <w:rPr>
          <w:rFonts w:hint="eastAsia" w:hAnsi="宋体" w:eastAsia="宋体" w:cs="宋体"/>
          <w:highlight w:val="none"/>
        </w:rPr>
        <w:t>名称：</w:t>
      </w:r>
      <w:r>
        <w:rPr>
          <w:rFonts w:hint="eastAsia" w:hAnsi="宋体" w:eastAsia="宋体" w:cs="宋体"/>
          <w:highlight w:val="none"/>
          <w:u w:val="single"/>
        </w:rPr>
        <w:t>　　　　　　　　</w:t>
      </w:r>
      <w:r>
        <w:rPr>
          <w:rFonts w:hAnsi="宋体" w:eastAsia="宋体" w:cs="宋体"/>
          <w:highlight w:val="none"/>
          <w:u w:val="single"/>
        </w:rPr>
        <w:t xml:space="preserve">                      </w:t>
      </w:r>
    </w:p>
    <w:p w14:paraId="653170B8">
      <w:pPr>
        <w:spacing w:line="440" w:lineRule="exact"/>
        <w:rPr>
          <w:rFonts w:hAnsi="宋体" w:eastAsia="宋体" w:cs="宋体"/>
          <w:highlight w:val="none"/>
        </w:rPr>
      </w:pPr>
      <w:r>
        <w:rPr>
          <w:rFonts w:hint="eastAsia" w:hAnsi="宋体" w:eastAsia="宋体" w:cs="宋体"/>
          <w:highlight w:val="none"/>
        </w:rPr>
        <w:t>法定代表人</w:t>
      </w:r>
      <w:r>
        <w:rPr>
          <w:rFonts w:hAnsi="宋体" w:eastAsia="宋体" w:cs="宋体"/>
          <w:highlight w:val="none"/>
        </w:rPr>
        <w:t>/负责人（签字或盖人名章）或者其委托代理人</w:t>
      </w:r>
      <w:r>
        <w:rPr>
          <w:rFonts w:hint="eastAsia" w:hAnsi="宋体" w:eastAsia="宋体" w:cs="宋体"/>
          <w:highlight w:val="none"/>
        </w:rPr>
        <w:t>（签字）</w:t>
      </w:r>
      <w:r>
        <w:rPr>
          <w:rFonts w:hAnsi="宋体" w:eastAsia="宋体" w:cs="宋体"/>
          <w:highlight w:val="none"/>
        </w:rPr>
        <w:t>：</w:t>
      </w:r>
      <w:r>
        <w:rPr>
          <w:rFonts w:hAnsi="宋体" w:eastAsia="宋体" w:cs="宋体"/>
          <w:highlight w:val="none"/>
          <w:u w:val="single"/>
        </w:rPr>
        <w:t xml:space="preserve">               </w:t>
      </w:r>
    </w:p>
    <w:p w14:paraId="70F05C94">
      <w:pPr>
        <w:spacing w:line="440" w:lineRule="exact"/>
        <w:rPr>
          <w:rFonts w:hAnsi="宋体" w:eastAsia="宋体" w:cs="宋体"/>
          <w:highlight w:val="none"/>
        </w:rPr>
      </w:pPr>
      <w:r>
        <w:rPr>
          <w:rFonts w:hint="eastAsia" w:hAnsi="宋体" w:eastAsia="宋体" w:cs="宋体"/>
          <w:highlight w:val="none"/>
        </w:rPr>
        <w:t>日期：</w:t>
      </w:r>
      <w:r>
        <w:rPr>
          <w:rFonts w:hAnsi="宋体" w:eastAsia="宋体" w:cs="宋体"/>
          <w:highlight w:val="none"/>
          <w:u w:val="single"/>
        </w:rPr>
        <w:t xml:space="preserve">   </w:t>
      </w:r>
      <w:r>
        <w:rPr>
          <w:rFonts w:hint="eastAsia" w:hAnsi="宋体" w:eastAsia="宋体" w:cs="宋体"/>
          <w:highlight w:val="none"/>
          <w:u w:val="single"/>
          <w:lang w:val="en-US" w:eastAsia="zh-CN"/>
        </w:rPr>
        <w:t xml:space="preserve">  </w:t>
      </w:r>
      <w:r>
        <w:rPr>
          <w:rFonts w:hAnsi="宋体" w:eastAsia="宋体" w:cs="宋体"/>
          <w:highlight w:val="none"/>
          <w:u w:val="single"/>
        </w:rPr>
        <w:t xml:space="preserve">   </w:t>
      </w:r>
      <w:r>
        <w:rPr>
          <w:rFonts w:hint="eastAsia" w:hAnsi="宋体" w:eastAsia="宋体" w:cs="宋体"/>
          <w:highlight w:val="none"/>
        </w:rPr>
        <w:t>年</w:t>
      </w:r>
      <w:r>
        <w:rPr>
          <w:rFonts w:hAnsi="宋体" w:eastAsia="宋体" w:cs="宋体"/>
          <w:highlight w:val="none"/>
          <w:u w:val="single"/>
        </w:rPr>
        <w:t xml:space="preserve">   </w:t>
      </w:r>
      <w:r>
        <w:rPr>
          <w:rFonts w:hint="eastAsia" w:hAnsi="宋体" w:eastAsia="宋体" w:cs="宋体"/>
          <w:highlight w:val="none"/>
          <w:u w:val="single"/>
          <w:lang w:val="en-US" w:eastAsia="zh-CN"/>
        </w:rPr>
        <w:t xml:space="preserve">   </w:t>
      </w:r>
      <w:r>
        <w:rPr>
          <w:rFonts w:hAnsi="宋体" w:eastAsia="宋体" w:cs="宋体"/>
          <w:highlight w:val="none"/>
          <w:u w:val="single"/>
        </w:rPr>
        <w:t xml:space="preserve">  </w:t>
      </w:r>
      <w:r>
        <w:rPr>
          <w:rFonts w:hint="eastAsia" w:hAnsi="宋体" w:eastAsia="宋体" w:cs="宋体"/>
          <w:highlight w:val="none"/>
        </w:rPr>
        <w:t>月</w:t>
      </w:r>
      <w:r>
        <w:rPr>
          <w:rFonts w:hAnsi="宋体" w:eastAsia="宋体" w:cs="宋体"/>
          <w:highlight w:val="none"/>
          <w:u w:val="single"/>
        </w:rPr>
        <w:t xml:space="preserve"> </w:t>
      </w:r>
      <w:r>
        <w:rPr>
          <w:rFonts w:hint="eastAsia" w:hAnsi="宋体" w:eastAsia="宋体" w:cs="宋体"/>
          <w:highlight w:val="none"/>
          <w:u w:val="single"/>
          <w:lang w:val="en-US" w:eastAsia="zh-CN"/>
        </w:rPr>
        <w:t xml:space="preserve">    </w:t>
      </w:r>
      <w:r>
        <w:rPr>
          <w:rFonts w:hAnsi="宋体" w:eastAsia="宋体" w:cs="宋体"/>
          <w:highlight w:val="none"/>
          <w:u w:val="single"/>
        </w:rPr>
        <w:t xml:space="preserve">   </w:t>
      </w:r>
      <w:r>
        <w:rPr>
          <w:rFonts w:hint="eastAsia" w:hAnsi="宋体" w:eastAsia="宋体" w:cs="宋体"/>
          <w:highlight w:val="none"/>
        </w:rPr>
        <w:t>日</w:t>
      </w:r>
    </w:p>
    <w:p w14:paraId="71E1724F">
      <w:pPr>
        <w:topLinePunct/>
        <w:spacing w:line="440" w:lineRule="exact"/>
        <w:jc w:val="left"/>
        <w:rPr>
          <w:rFonts w:hint="eastAsia" w:ascii="Times New Roman" w:hAnsi="Times New Roman" w:eastAsia="宋体" w:cs="Times New Roman"/>
        </w:rPr>
      </w:pPr>
      <w:r>
        <w:rPr>
          <w:rFonts w:hint="eastAsia" w:ascii="Times New Roman" w:hAnsi="Times New Roman" w:eastAsia="宋体" w:cs="Times New Roman"/>
        </w:rPr>
        <w:t>[采购人不得对本文件中的条款进行修改。如不涉及需第三方提供本文件，可将落款中签字栏“法定代表人/负责人（签字或盖人名章）或者其委托代理人（签字）：”删除。]</w:t>
      </w:r>
    </w:p>
    <w:p w14:paraId="5BA2190A">
      <w:pPr>
        <w:topLinePunct/>
        <w:spacing w:line="440" w:lineRule="exact"/>
        <w:jc w:val="left"/>
        <w:rPr>
          <w:rFonts w:hint="eastAsia" w:hAnsi="宋体" w:eastAsia="宋体" w:cs="宋体"/>
          <w:highlight w:val="none"/>
        </w:rPr>
      </w:pPr>
      <w:r>
        <w:rPr>
          <w:rFonts w:hint="eastAsia" w:hAnsi="宋体" w:eastAsia="宋体" w:cs="宋体"/>
          <w:b/>
          <w:highlight w:val="none"/>
        </w:rPr>
        <w:t>编制要求</w:t>
      </w:r>
      <w:r>
        <w:rPr>
          <w:rFonts w:hint="eastAsia" w:hAnsi="宋体" w:eastAsia="宋体" w:cs="宋体"/>
          <w:highlight w:val="none"/>
        </w:rPr>
        <w:t>：</w:t>
      </w:r>
    </w:p>
    <w:p w14:paraId="3DEF731F">
      <w:pPr>
        <w:widowControl w:val="0"/>
        <w:numPr>
          <w:ilvl w:val="0"/>
          <w:numId w:val="15"/>
        </w:numPr>
        <w:adjustRightInd w:val="0"/>
        <w:snapToGrid w:val="0"/>
        <w:spacing w:line="440" w:lineRule="exact"/>
        <w:ind w:left="360" w:hanging="360" w:firstLineChars="0"/>
        <w:jc w:val="both"/>
        <w:rPr>
          <w:rFonts w:hint="eastAsia" w:cs="Times New Roman" w:asciiTheme="minorEastAsia" w:hAnsiTheme="minorEastAsia" w:eastAsiaTheme="minorEastAsia"/>
          <w:kern w:val="2"/>
          <w:sz w:val="21"/>
          <w:szCs w:val="24"/>
          <w:lang w:val="en-US" w:eastAsia="zh-CN" w:bidi="ar-SA"/>
        </w:rPr>
      </w:pPr>
      <w:r>
        <w:rPr>
          <w:rFonts w:hint="eastAsia" w:cs="Times New Roman" w:asciiTheme="minorEastAsia" w:hAnsiTheme="minorEastAsia" w:eastAsiaTheme="minorEastAsia"/>
          <w:kern w:val="2"/>
          <w:sz w:val="21"/>
          <w:szCs w:val="24"/>
          <w:lang w:val="en-US" w:eastAsia="zh-CN" w:bidi="ar-SA"/>
        </w:rPr>
        <w:t>供应商若存在“中国电信在职员工、离职或退休后三年内在我方担任法定代表人或董监高的情况”、“中国电信员工近亲属在我方担任法定代表人或董监高的情况”的，应填写该“承诺函”，不涉及则无需填写。</w:t>
      </w:r>
    </w:p>
    <w:p w14:paraId="3492209B">
      <w:pPr>
        <w:numPr>
          <w:ilvl w:val="0"/>
          <w:numId w:val="15"/>
        </w:numPr>
        <w:adjustRightInd w:val="0"/>
        <w:snapToGrid w:val="0"/>
        <w:spacing w:line="440" w:lineRule="exact"/>
        <w:ind w:left="0" w:firstLine="0" w:firstLineChars="0"/>
        <w:rPr>
          <w:rFonts w:hint="eastAsia" w:asciiTheme="minorEastAsia" w:hAnsiTheme="minorEastAsia" w:eastAsiaTheme="minorEastAsia"/>
        </w:rPr>
        <w:sectPr>
          <w:pgSz w:w="11906" w:h="16838"/>
          <w:pgMar w:top="1440" w:right="1800" w:bottom="1440" w:left="1800" w:header="851" w:footer="992" w:gutter="0"/>
          <w:cols w:space="425" w:num="1"/>
          <w:docGrid w:type="lines" w:linePitch="312" w:charSpace="0"/>
        </w:sectPr>
      </w:pPr>
      <w:r>
        <w:rPr>
          <w:rFonts w:hint="eastAsia" w:cs="Times New Roman" w:asciiTheme="minorEastAsia" w:hAnsiTheme="minorEastAsia" w:eastAsiaTheme="minorEastAsia"/>
          <w:kern w:val="2"/>
          <w:sz w:val="21"/>
          <w:szCs w:val="24"/>
          <w:lang w:val="en-US" w:eastAsia="zh-CN" w:bidi="ar-SA"/>
        </w:rPr>
        <w:t>除本文件允许供应商进行填写的内容以外，供应商不得对本文件进行修改</w:t>
      </w:r>
    </w:p>
    <w:p w14:paraId="64CB5DA5">
      <w:pPr>
        <w:widowControl w:val="0"/>
        <w:numPr>
          <w:ilvl w:val="0"/>
          <w:numId w:val="0"/>
        </w:numPr>
        <w:tabs>
          <w:tab w:val="left" w:pos="588"/>
        </w:tabs>
        <w:snapToGrid w:val="0"/>
        <w:spacing w:before="120" w:after="120" w:line="440" w:lineRule="exact"/>
        <w:ind w:left="425" w:leftChars="0" w:hanging="425" w:firstLineChars="0"/>
        <w:jc w:val="left"/>
        <w:outlineLvl w:val="1"/>
        <w:rPr>
          <w:rFonts w:cs="Times New Roman" w:asciiTheme="minorEastAsia" w:hAnsiTheme="minorEastAsia" w:eastAsiaTheme="minorEastAsia"/>
          <w:b/>
          <w:bCs/>
          <w:kern w:val="2"/>
          <w:sz w:val="24"/>
          <w:szCs w:val="24"/>
          <w:lang w:val="en-US" w:eastAsia="zh-CN" w:bidi="ar-SA"/>
        </w:rPr>
      </w:pPr>
      <w:bookmarkStart w:id="1776" w:name="_Toc26045"/>
      <w:bookmarkStart w:id="1777" w:name="_Toc4293"/>
      <w:r>
        <w:rPr>
          <w:rFonts w:hint="eastAsia" w:cs="Times New Roman" w:asciiTheme="minorEastAsia" w:hAnsiTheme="minorEastAsia" w:eastAsiaTheme="minorEastAsia"/>
          <w:b/>
          <w:bCs/>
          <w:kern w:val="2"/>
          <w:sz w:val="24"/>
          <w:szCs w:val="24"/>
          <w:lang w:val="en-US" w:eastAsia="zh-CN" w:bidi="ar-SA"/>
        </w:rPr>
        <w:t>10.近【五】年发生的诉讼及仲裁情况</w:t>
      </w:r>
      <w:bookmarkEnd w:id="1776"/>
      <w:bookmarkEnd w:id="1777"/>
    </w:p>
    <w:p w14:paraId="68D474E8">
      <w:pPr>
        <w:topLinePunct/>
        <w:spacing w:line="440" w:lineRule="exact"/>
        <w:jc w:val="center"/>
        <w:rPr>
          <w:rFonts w:asciiTheme="minorEastAsia" w:hAnsiTheme="minorEastAsia" w:eastAsiaTheme="minorEastAsia"/>
          <w:b/>
          <w:sz w:val="24"/>
        </w:rPr>
      </w:pPr>
      <w:r>
        <w:rPr>
          <w:rFonts w:hint="eastAsia" w:asciiTheme="minorEastAsia" w:hAnsiTheme="minorEastAsia" w:eastAsiaTheme="minorEastAsia"/>
          <w:b/>
          <w:sz w:val="24"/>
        </w:rPr>
        <w:t>近【五】年发生的诉讼及仲裁情况</w:t>
      </w:r>
    </w:p>
    <w:p w14:paraId="3995CCB0">
      <w:pPr>
        <w:rPr>
          <w:rFonts w:asciiTheme="minorEastAsia" w:hAnsiTheme="minorEastAsia" w:eastAsiaTheme="minorEastAsia"/>
        </w:rPr>
      </w:pPr>
    </w:p>
    <w:p w14:paraId="42DA3EB3">
      <w:pPr>
        <w:topLinePunct/>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如供应商有诉讼和/或仲裁（包括已结案和尚在进行的诉讼和/或仲裁阶段的案件）且</w:t>
      </w:r>
      <w:r>
        <w:rPr>
          <w:rFonts w:hint="eastAsia" w:asciiTheme="minorEastAsia" w:hAnsiTheme="minorEastAsia" w:eastAsiaTheme="minorEastAsia"/>
          <w:color w:val="000000"/>
          <w:szCs w:val="21"/>
        </w:rPr>
        <w:t>可能影响履约能力的，</w:t>
      </w:r>
      <w:r>
        <w:rPr>
          <w:rFonts w:hint="eastAsia" w:asciiTheme="minorEastAsia" w:hAnsiTheme="minorEastAsia" w:eastAsiaTheme="minorEastAsia"/>
          <w:szCs w:val="21"/>
        </w:rPr>
        <w:t>则须向采购人或采购代理机构提供诉讼和/或仲裁案件的有关资料及证明，包括原告（诉讼和/或仲裁申请人）、被告（诉讼和/或仲裁被申请人）、诉讼和/或仲裁原因、诉讼和/或仲裁事件、诉讼和/或仲裁金额、诉讼和/或仲裁结果等，并填入下表。</w:t>
      </w:r>
    </w:p>
    <w:p w14:paraId="49A42CCC">
      <w:pPr>
        <w:topLinePunct/>
        <w:spacing w:line="44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如供应商无上述情况，则应在第一行“</w:t>
      </w:r>
      <w:r>
        <w:rPr>
          <w:rFonts w:hint="eastAsia" w:cs="Arial" w:asciiTheme="minorEastAsia" w:hAnsiTheme="minorEastAsia" w:eastAsiaTheme="minorEastAsia"/>
          <w:szCs w:val="21"/>
        </w:rPr>
        <w:t>起诉（仲裁）人</w:t>
      </w:r>
      <w:r>
        <w:rPr>
          <w:rFonts w:hint="eastAsia" w:asciiTheme="minorEastAsia" w:hAnsiTheme="minorEastAsia" w:eastAsiaTheme="minorEastAsia"/>
          <w:szCs w:val="21"/>
        </w:rPr>
        <w:t>”列填写“不涉及”。</w:t>
      </w:r>
    </w:p>
    <w:tbl>
      <w:tblPr>
        <w:tblStyle w:val="39"/>
        <w:tblW w:w="5000" w:type="pct"/>
        <w:tblInd w:w="0" w:type="dxa"/>
        <w:tblLayout w:type="autofit"/>
        <w:tblCellMar>
          <w:top w:w="0" w:type="dxa"/>
          <w:left w:w="0" w:type="dxa"/>
          <w:bottom w:w="0" w:type="dxa"/>
          <w:right w:w="0" w:type="dxa"/>
        </w:tblCellMar>
      </w:tblPr>
      <w:tblGrid>
        <w:gridCol w:w="650"/>
        <w:gridCol w:w="801"/>
        <w:gridCol w:w="1208"/>
        <w:gridCol w:w="1452"/>
        <w:gridCol w:w="1492"/>
        <w:gridCol w:w="1044"/>
        <w:gridCol w:w="1044"/>
        <w:gridCol w:w="651"/>
      </w:tblGrid>
      <w:tr w14:paraId="0CFD4892">
        <w:tblPrEx>
          <w:tblCellMar>
            <w:top w:w="0" w:type="dxa"/>
            <w:left w:w="0" w:type="dxa"/>
            <w:bottom w:w="0" w:type="dxa"/>
            <w:right w:w="0" w:type="dxa"/>
          </w:tblCellMar>
        </w:tblPrEx>
        <w:trPr>
          <w:trHeight w:val="899" w:hRule="atLeast"/>
        </w:trPr>
        <w:tc>
          <w:tcPr>
            <w:tcW w:w="39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A576ACC">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序号</w:t>
            </w:r>
          </w:p>
        </w:tc>
        <w:tc>
          <w:tcPr>
            <w:tcW w:w="48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6A8E209">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日期</w:t>
            </w:r>
          </w:p>
        </w:tc>
        <w:tc>
          <w:tcPr>
            <w:tcW w:w="72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7F44983">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起诉（仲裁）人</w:t>
            </w:r>
          </w:p>
        </w:tc>
        <w:tc>
          <w:tcPr>
            <w:tcW w:w="87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B5030D">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被诉（被仲裁）人</w:t>
            </w:r>
          </w:p>
        </w:tc>
        <w:tc>
          <w:tcPr>
            <w:tcW w:w="894"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842E91C">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诉讼（仲裁）事件</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9F5936A">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诉讼（仲裁）金额</w:t>
            </w:r>
          </w:p>
        </w:tc>
        <w:tc>
          <w:tcPr>
            <w:tcW w:w="626"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D2524D8">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诉讼（仲裁）结果</w:t>
            </w:r>
          </w:p>
        </w:tc>
        <w:tc>
          <w:tcPr>
            <w:tcW w:w="390" w:type="pct"/>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5035C6B">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备注</w:t>
            </w:r>
          </w:p>
        </w:tc>
      </w:tr>
      <w:tr w14:paraId="51A9CC3F">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D5B864">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1</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FCCBE">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E449A">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0AAEE6">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48286">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7027C5">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B28947">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496B65">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r>
      <w:tr w14:paraId="759917E6">
        <w:tblPrEx>
          <w:tblCellMar>
            <w:top w:w="0" w:type="dxa"/>
            <w:left w:w="0" w:type="dxa"/>
            <w:bottom w:w="0" w:type="dxa"/>
            <w:right w:w="0" w:type="dxa"/>
          </w:tblCellMar>
        </w:tblPrEx>
        <w:trPr>
          <w:trHeight w:val="570" w:hRule="atLeast"/>
        </w:trPr>
        <w:tc>
          <w:tcPr>
            <w:tcW w:w="390" w:type="pct"/>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A0D5C75">
            <w:pPr>
              <w:jc w:val="center"/>
              <w:rPr>
                <w:rFonts w:cs="Arial" w:asciiTheme="minorEastAsia" w:hAnsiTheme="minorEastAsia" w:eastAsiaTheme="minorEastAsia"/>
                <w:szCs w:val="21"/>
              </w:rPr>
            </w:pPr>
            <w:r>
              <w:rPr>
                <w:rFonts w:hint="eastAsia" w:cs="Arial" w:asciiTheme="minorEastAsia" w:hAnsiTheme="minorEastAsia" w:eastAsiaTheme="minorEastAsia"/>
                <w:szCs w:val="21"/>
              </w:rPr>
              <w:t>2</w:t>
            </w:r>
          </w:p>
        </w:tc>
        <w:tc>
          <w:tcPr>
            <w:tcW w:w="48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A0F0F5">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72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48DBF7">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87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B8166">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894"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00AC2">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79931C">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626"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D82D2">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c>
          <w:tcPr>
            <w:tcW w:w="390" w:type="pct"/>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6090A0">
            <w:pPr>
              <w:rPr>
                <w:rFonts w:cs="Arial" w:asciiTheme="minorEastAsia" w:hAnsiTheme="minorEastAsia" w:eastAsiaTheme="minorEastAsia"/>
                <w:szCs w:val="21"/>
              </w:rPr>
            </w:pPr>
            <w:r>
              <w:rPr>
                <w:rFonts w:hint="eastAsia" w:cs="Arial" w:asciiTheme="minorEastAsia" w:hAnsiTheme="minorEastAsia" w:eastAsiaTheme="minorEastAsia"/>
                <w:szCs w:val="21"/>
              </w:rPr>
              <w:t>　</w:t>
            </w:r>
          </w:p>
        </w:tc>
      </w:tr>
    </w:tbl>
    <w:p w14:paraId="75472C61">
      <w:pPr>
        <w:topLinePunct/>
        <w:spacing w:line="440" w:lineRule="exact"/>
        <w:jc w:val="left"/>
        <w:rPr>
          <w:rFonts w:asciiTheme="minorEastAsia" w:hAnsiTheme="minorEastAsia" w:eastAsiaTheme="minorEastAsia"/>
          <w:highlight w:val="none"/>
        </w:rPr>
      </w:pPr>
      <w:r>
        <w:rPr>
          <w:rFonts w:asciiTheme="minorEastAsia" w:hAnsiTheme="minorEastAsia" w:eastAsiaTheme="minorEastAsia"/>
          <w:highlight w:val="none"/>
        </w:rPr>
        <w:br w:type="page"/>
      </w:r>
    </w:p>
    <w:p w14:paraId="48FDF8B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lang w:val="en-US" w:eastAsia="zh-CN"/>
        </w:rPr>
      </w:pPr>
      <w:bookmarkStart w:id="1778" w:name="_Toc13095"/>
      <w:bookmarkStart w:id="1779" w:name="_Toc139026974"/>
      <w:bookmarkStart w:id="1780" w:name="_Toc14281"/>
      <w:bookmarkStart w:id="1781" w:name="_Toc4736"/>
      <w:bookmarkStart w:id="1782" w:name="_Toc10237"/>
      <w:bookmarkStart w:id="1783" w:name="_Toc23891"/>
      <w:bookmarkStart w:id="1784" w:name="_Toc12252"/>
      <w:bookmarkStart w:id="1785" w:name="_Toc475472680"/>
      <w:bookmarkStart w:id="1786" w:name="_Toc38008088"/>
      <w:bookmarkStart w:id="1787" w:name="_Toc5170"/>
      <w:bookmarkStart w:id="1788" w:name="_Toc4673"/>
      <w:bookmarkStart w:id="1789" w:name="_Toc28042"/>
      <w:bookmarkStart w:id="1790" w:name="_Toc20161"/>
      <w:bookmarkStart w:id="1791" w:name="_Toc16245"/>
      <w:bookmarkStart w:id="1792" w:name="_Toc2413"/>
      <w:bookmarkStart w:id="1793" w:name="_Toc29743"/>
      <w:bookmarkStart w:id="1794" w:name="_Toc18021"/>
      <w:bookmarkStart w:id="1795" w:name="_Toc3390"/>
      <w:bookmarkStart w:id="1796" w:name="_Toc13803"/>
      <w:bookmarkStart w:id="1797" w:name="_Toc475472679"/>
      <w:bookmarkStart w:id="1798" w:name="_Toc31942"/>
      <w:bookmarkStart w:id="1799" w:name="_Toc16260"/>
      <w:bookmarkStart w:id="1800" w:name="_Toc444791972"/>
      <w:bookmarkStart w:id="1801" w:name="_Toc29225"/>
      <w:bookmarkStart w:id="1802" w:name="_Toc30767"/>
      <w:bookmarkStart w:id="1803" w:name="_Toc6047"/>
      <w:bookmarkStart w:id="1804" w:name="_Toc2429"/>
      <w:bookmarkStart w:id="1805" w:name="_Toc4619"/>
      <w:bookmarkStart w:id="1806" w:name="_Toc38008087"/>
      <w:bookmarkStart w:id="1807" w:name="_Toc32005"/>
      <w:bookmarkStart w:id="1808" w:name="_Toc139026973"/>
      <w:bookmarkStart w:id="1809" w:name="_Toc7414"/>
      <w:bookmarkStart w:id="1810" w:name="_Toc13918"/>
      <w:bookmarkStart w:id="1811" w:name="_Toc30344"/>
      <w:bookmarkStart w:id="1812" w:name="_Toc486866108"/>
      <w:bookmarkStart w:id="1813" w:name="_Toc475472682"/>
      <w:bookmarkStart w:id="1814" w:name="_Toc438052129"/>
      <w:bookmarkStart w:id="1815" w:name="_Toc3192"/>
      <w:r>
        <w:rPr>
          <w:rFonts w:hint="eastAsia" w:cs="Times New Roman" w:asciiTheme="minorEastAsia" w:hAnsiTheme="minorEastAsia" w:eastAsiaTheme="minorEastAsia"/>
          <w:b/>
          <w:bCs/>
          <w:kern w:val="2"/>
          <w:sz w:val="24"/>
          <w:szCs w:val="24"/>
          <w:lang w:val="en-US" w:eastAsia="zh-CN" w:bidi="ar-SA"/>
        </w:rPr>
        <w:t>11.</w:t>
      </w:r>
      <w:r>
        <w:rPr>
          <w:rFonts w:hint="eastAsia" w:asciiTheme="minorEastAsia" w:hAnsiTheme="minorEastAsia" w:eastAsiaTheme="minorEastAsia"/>
          <w:sz w:val="24"/>
          <w:szCs w:val="24"/>
          <w:highlight w:val="none"/>
          <w:lang w:val="en-US" w:eastAsia="zh-CN"/>
        </w:rPr>
        <w:t>资格审查资料</w:t>
      </w:r>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p>
    <w:p w14:paraId="4DD23058">
      <w:pPr>
        <w:pStyle w:val="4"/>
        <w:snapToGrid w:val="0"/>
        <w:spacing w:line="440" w:lineRule="exact"/>
        <w:ind w:firstLine="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资格审查资料</w:t>
      </w:r>
    </w:p>
    <w:p w14:paraId="48402360">
      <w:pP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供应商根据文件自行提供。</w:t>
      </w:r>
      <w:r>
        <w:rPr>
          <w:rFonts w:hint="eastAsia" w:asciiTheme="minorEastAsia" w:hAnsiTheme="minorEastAsia" w:eastAsiaTheme="minorEastAsia"/>
          <w:szCs w:val="21"/>
          <w:highlight w:val="none"/>
        </w:rPr>
        <w:br w:type="page"/>
      </w:r>
    </w:p>
    <w:p w14:paraId="3E3F9FB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816" w:name="_Toc29424"/>
      <w:r>
        <w:rPr>
          <w:rFonts w:hint="eastAsia" w:cs="Times New Roman" w:asciiTheme="minorEastAsia" w:hAnsiTheme="minorEastAsia" w:eastAsiaTheme="minorEastAsia"/>
          <w:b/>
          <w:bCs/>
          <w:kern w:val="2"/>
          <w:sz w:val="24"/>
          <w:szCs w:val="24"/>
          <w:lang w:val="en-US" w:eastAsia="zh-CN" w:bidi="ar-SA"/>
        </w:rPr>
        <w:t>12.</w:t>
      </w:r>
      <w:r>
        <w:rPr>
          <w:rFonts w:hint="eastAsia" w:asciiTheme="minorEastAsia" w:hAnsiTheme="minorEastAsia" w:eastAsiaTheme="minorEastAsia"/>
          <w:sz w:val="24"/>
          <w:szCs w:val="24"/>
          <w:highlight w:val="none"/>
          <w:lang w:val="en-US" w:eastAsia="zh-CN"/>
        </w:rPr>
        <w:t>采购</w:t>
      </w:r>
      <w:r>
        <w:rPr>
          <w:rFonts w:hint="eastAsia" w:asciiTheme="minorEastAsia" w:hAnsiTheme="minorEastAsia" w:eastAsiaTheme="minorEastAsia"/>
          <w:sz w:val="24"/>
          <w:szCs w:val="24"/>
          <w:highlight w:val="none"/>
        </w:rPr>
        <w:t>代理服务费支付承诺函</w:t>
      </w:r>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6"/>
    </w:p>
    <w:p w14:paraId="1603B8FE">
      <w:pPr>
        <w:ind w:firstLine="420" w:firstLineChars="200"/>
        <w:rPr>
          <w:rFonts w:asciiTheme="minorEastAsia" w:hAnsiTheme="minorEastAsia" w:eastAsiaTheme="minorEastAsia"/>
          <w:szCs w:val="21"/>
          <w:highlight w:val="none"/>
        </w:rPr>
      </w:pPr>
    </w:p>
    <w:p w14:paraId="0FBD46A3">
      <w:pPr>
        <w:jc w:val="center"/>
        <w:rPr>
          <w:rFonts w:asciiTheme="minorEastAsia" w:hAnsiTheme="minorEastAsia" w:eastAsiaTheme="minorEastAsia"/>
          <w:b/>
          <w:sz w:val="24"/>
          <w:highlight w:val="none"/>
        </w:rPr>
      </w:pPr>
      <w:bookmarkStart w:id="1817" w:name="_Toc231704287"/>
      <w:r>
        <w:rPr>
          <w:rFonts w:hint="eastAsia" w:asciiTheme="minorEastAsia" w:hAnsiTheme="minorEastAsia" w:eastAsiaTheme="minorEastAsia"/>
          <w:b/>
          <w:sz w:val="24"/>
          <w:highlight w:val="none"/>
          <w:lang w:val="en-US" w:eastAsia="zh-CN"/>
        </w:rPr>
        <w:t>采购</w:t>
      </w:r>
      <w:r>
        <w:rPr>
          <w:rFonts w:hint="eastAsia" w:asciiTheme="minorEastAsia" w:hAnsiTheme="minorEastAsia" w:eastAsiaTheme="minorEastAsia"/>
          <w:b/>
          <w:sz w:val="24"/>
          <w:highlight w:val="none"/>
        </w:rPr>
        <w:t>代理服务费支付承诺函</w:t>
      </w:r>
      <w:bookmarkEnd w:id="1817"/>
    </w:p>
    <w:p w14:paraId="3DA89091">
      <w:pPr>
        <w:ind w:firstLine="422" w:firstLineChars="200"/>
        <w:jc w:val="center"/>
        <w:rPr>
          <w:rFonts w:asciiTheme="minorEastAsia" w:hAnsiTheme="minorEastAsia" w:eastAsiaTheme="minorEastAsia"/>
          <w:b/>
          <w:szCs w:val="21"/>
          <w:highlight w:val="none"/>
        </w:rPr>
      </w:pPr>
    </w:p>
    <w:p w14:paraId="543A59F9">
      <w:pPr>
        <w:spacing w:line="480" w:lineRule="exact"/>
        <w:ind w:firstLine="105" w:firstLineChars="5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代理机构名称</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w:t>
      </w:r>
    </w:p>
    <w:p w14:paraId="57FE79B1">
      <w:pPr>
        <w:spacing w:line="480" w:lineRule="exact"/>
        <w:ind w:firstLine="480" w:firstLineChars="229"/>
        <w:rPr>
          <w:rFonts w:asciiTheme="minorEastAsia" w:hAnsiTheme="minorEastAsia" w:eastAsiaTheme="minorEastAsia"/>
          <w:szCs w:val="21"/>
          <w:highlight w:val="none"/>
        </w:rPr>
      </w:pPr>
    </w:p>
    <w:p w14:paraId="5E1CB38F">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我公司为贵公司代理的</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项目名称</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项目的</w:t>
      </w:r>
      <w:r>
        <w:rPr>
          <w:rFonts w:hint="eastAsia" w:asciiTheme="minorEastAsia" w:hAnsiTheme="minorEastAsia" w:eastAsiaTheme="minorEastAsia"/>
          <w:szCs w:val="21"/>
          <w:highlight w:val="none"/>
          <w:lang w:val="en-US" w:eastAsia="zh-CN"/>
        </w:rPr>
        <w:t>响应供应商</w:t>
      </w:r>
      <w:r>
        <w:rPr>
          <w:rFonts w:hint="eastAsia" w:asciiTheme="minorEastAsia" w:hAnsiTheme="minorEastAsia" w:eastAsiaTheme="minorEastAsia"/>
          <w:szCs w:val="21"/>
          <w:highlight w:val="none"/>
        </w:rPr>
        <w:t>。我方承诺，如我公司</w:t>
      </w:r>
      <w:r>
        <w:rPr>
          <w:rFonts w:hint="eastAsia" w:asciiTheme="minorEastAsia" w:hAnsiTheme="minorEastAsia" w:eastAsiaTheme="minorEastAsia"/>
          <w:szCs w:val="21"/>
          <w:highlight w:val="none"/>
          <w:lang w:val="en-US" w:eastAsia="zh-CN"/>
        </w:rPr>
        <w:t>成交</w:t>
      </w:r>
      <w:r>
        <w:rPr>
          <w:rFonts w:hint="eastAsia" w:asciiTheme="minorEastAsia" w:hAnsiTheme="minorEastAsia" w:eastAsiaTheme="minorEastAsia"/>
          <w:szCs w:val="21"/>
          <w:highlight w:val="none"/>
        </w:rPr>
        <w:t>，我公司将按</w:t>
      </w: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须知第9条的要求，向贵公司支付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代理服务费。我公司将承担因我方支付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代理服务费不及时或不支付</w:t>
      </w:r>
      <w:r>
        <w:rPr>
          <w:rFonts w:hint="eastAsia" w:asciiTheme="minorEastAsia" w:hAnsiTheme="minorEastAsia" w:eastAsiaTheme="minorEastAsia"/>
          <w:szCs w:val="21"/>
          <w:highlight w:val="none"/>
          <w:lang w:val="en-US" w:eastAsia="zh-CN"/>
        </w:rPr>
        <w:t>采购</w:t>
      </w:r>
      <w:r>
        <w:rPr>
          <w:rFonts w:hint="eastAsia" w:asciiTheme="minorEastAsia" w:hAnsiTheme="minorEastAsia" w:eastAsiaTheme="minorEastAsia"/>
          <w:szCs w:val="21"/>
          <w:highlight w:val="none"/>
        </w:rPr>
        <w:t>代理服务费而造成的贵方各项损失，包括但不限于违约金、赔偿损失等。</w:t>
      </w:r>
    </w:p>
    <w:p w14:paraId="18084015">
      <w:pPr>
        <w:spacing w:line="48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特此承诺！</w:t>
      </w:r>
    </w:p>
    <w:p w14:paraId="2B8ADB97">
      <w:pPr>
        <w:spacing w:line="480" w:lineRule="exact"/>
        <w:rPr>
          <w:rFonts w:asciiTheme="minorEastAsia" w:hAnsiTheme="minorEastAsia" w:eastAsiaTheme="minorEastAsia"/>
          <w:szCs w:val="21"/>
          <w:highlight w:val="none"/>
        </w:rPr>
      </w:pPr>
    </w:p>
    <w:p w14:paraId="2BC5B255">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0E02D334">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FD5BDA8">
      <w:pPr>
        <w:topLinePunct/>
        <w:spacing w:line="440" w:lineRule="exact"/>
        <w:ind w:left="422" w:hanging="422" w:hangingChars="201"/>
        <w:jc w:val="left"/>
        <w:rPr>
          <w:highlight w:val="none"/>
        </w:rPr>
      </w:pPr>
    </w:p>
    <w:p w14:paraId="1856EE36">
      <w:pPr>
        <w:topLinePunct/>
        <w:spacing w:line="440" w:lineRule="exact"/>
        <w:ind w:left="422" w:hanging="422" w:hangingChars="201"/>
        <w:jc w:val="left"/>
        <w:rPr>
          <w:highlight w:val="none"/>
        </w:rPr>
      </w:pPr>
    </w:p>
    <w:p w14:paraId="1A8EA816">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9"/>
        <w:rPr>
          <w:rFonts w:hint="eastAsia" w:cs="Times New Roman" w:asciiTheme="minorEastAsia" w:hAnsiTheme="minorEastAsia" w:eastAsiaTheme="minorEastAsia"/>
          <w:b w:val="0"/>
          <w:bCs w:val="0"/>
          <w:kern w:val="2"/>
          <w:sz w:val="21"/>
          <w:szCs w:val="21"/>
          <w:highlight w:val="none"/>
          <w:lang w:val="en-US" w:eastAsia="zh-CN" w:bidi="ar-SA"/>
        </w:rPr>
      </w:pPr>
      <w:bookmarkStart w:id="1818" w:name="_Toc30005"/>
      <w:bookmarkStart w:id="1819" w:name="_Toc7084"/>
      <w:r>
        <w:rPr>
          <w:rFonts w:hint="eastAsia" w:cs="Times New Roman" w:asciiTheme="minorEastAsia" w:hAnsiTheme="minorEastAsia" w:eastAsiaTheme="minorEastAsia"/>
          <w:b/>
          <w:bCs/>
          <w:kern w:val="2"/>
          <w:sz w:val="21"/>
          <w:szCs w:val="21"/>
          <w:highlight w:val="none"/>
          <w:lang w:val="en-US" w:eastAsia="zh-CN" w:bidi="ar-SA"/>
        </w:rPr>
        <w:t>编制要求：</w:t>
      </w:r>
      <w:r>
        <w:rPr>
          <w:rFonts w:hint="eastAsia" w:cs="Times New Roman" w:asciiTheme="minorEastAsia" w:hAnsiTheme="minorEastAsia" w:eastAsiaTheme="minorEastAsia"/>
          <w:b w:val="0"/>
          <w:bCs w:val="0"/>
          <w:kern w:val="2"/>
          <w:sz w:val="21"/>
          <w:szCs w:val="21"/>
          <w:highlight w:val="none"/>
          <w:lang w:val="en-US" w:eastAsia="zh-CN" w:bidi="ar-SA"/>
        </w:rPr>
        <w:t>除本文件允许供应商进行填写的内容以外，供应商不得对本文件进行修改。</w:t>
      </w:r>
      <w:bookmarkEnd w:id="1818"/>
      <w:bookmarkEnd w:id="1819"/>
    </w:p>
    <w:p w14:paraId="63DBA0C8">
      <w:pPr>
        <w:rPr>
          <w:rFonts w:hint="eastAsia" w:cs="Times New Roman" w:asciiTheme="minorEastAsia" w:hAnsiTheme="minorEastAsia" w:eastAsiaTheme="minorEastAsia"/>
          <w:b w:val="0"/>
          <w:bCs w:val="0"/>
          <w:kern w:val="2"/>
          <w:sz w:val="21"/>
          <w:szCs w:val="21"/>
          <w:highlight w:val="none"/>
          <w:lang w:val="en-US" w:eastAsia="zh-CN" w:bidi="ar-SA"/>
        </w:rPr>
      </w:pPr>
      <w:r>
        <w:rPr>
          <w:rFonts w:hint="eastAsia" w:cs="Times New Roman" w:asciiTheme="minorEastAsia" w:hAnsiTheme="minorEastAsia" w:eastAsiaTheme="minorEastAsia"/>
          <w:b w:val="0"/>
          <w:bCs w:val="0"/>
          <w:kern w:val="2"/>
          <w:sz w:val="21"/>
          <w:szCs w:val="21"/>
          <w:highlight w:val="none"/>
          <w:lang w:val="en-US" w:eastAsia="zh-CN" w:bidi="ar-SA"/>
        </w:rPr>
        <w:br w:type="page"/>
      </w:r>
    </w:p>
    <w:p w14:paraId="0D43970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820" w:name="_Toc18938"/>
      <w:bookmarkStart w:id="1821" w:name="_Toc18114"/>
      <w:bookmarkStart w:id="1822" w:name="_Toc19521"/>
      <w:bookmarkStart w:id="1823" w:name="_Toc17773"/>
      <w:bookmarkStart w:id="1824" w:name="_Toc29725"/>
      <w:bookmarkStart w:id="1825" w:name="_Toc27602"/>
      <w:bookmarkStart w:id="1826" w:name="_Toc17454"/>
      <w:bookmarkStart w:id="1827" w:name="_Toc11613"/>
      <w:bookmarkStart w:id="1828" w:name="_Toc2115"/>
      <w:bookmarkStart w:id="1829" w:name="_Toc18916"/>
      <w:bookmarkStart w:id="1830" w:name="_Toc13029"/>
      <w:bookmarkStart w:id="1831" w:name="_Toc660"/>
      <w:r>
        <w:rPr>
          <w:rFonts w:hint="eastAsia" w:cs="Times New Roman" w:asciiTheme="minorEastAsia" w:hAnsiTheme="minorEastAsia" w:eastAsiaTheme="minorEastAsia"/>
          <w:b/>
          <w:bCs/>
          <w:kern w:val="2"/>
          <w:sz w:val="24"/>
          <w:szCs w:val="24"/>
          <w:lang w:val="en-US" w:eastAsia="zh-CN" w:bidi="ar-SA"/>
        </w:rPr>
        <w:t>13.</w:t>
      </w:r>
      <w:r>
        <w:rPr>
          <w:rFonts w:hint="eastAsia" w:asciiTheme="minorEastAsia" w:hAnsiTheme="minorEastAsia" w:eastAsiaTheme="minorEastAsia"/>
          <w:sz w:val="24"/>
          <w:szCs w:val="24"/>
          <w:highlight w:val="none"/>
          <w:lang w:eastAsia="zh-CN"/>
        </w:rPr>
        <w:t>供应商</w:t>
      </w:r>
      <w:r>
        <w:rPr>
          <w:rFonts w:hint="eastAsia" w:asciiTheme="minorEastAsia" w:hAnsiTheme="minorEastAsia" w:eastAsiaTheme="minorEastAsia"/>
          <w:sz w:val="24"/>
          <w:szCs w:val="24"/>
          <w:highlight w:val="none"/>
        </w:rPr>
        <w:t>控股及管理关系情况申报表</w:t>
      </w:r>
      <w:bookmarkEnd w:id="1812"/>
      <w:bookmarkEnd w:id="1813"/>
      <w:bookmarkEnd w:id="1814"/>
      <w:bookmarkEnd w:id="1815"/>
      <w:bookmarkEnd w:id="1820"/>
      <w:bookmarkEnd w:id="1821"/>
      <w:bookmarkEnd w:id="1822"/>
      <w:bookmarkEnd w:id="1823"/>
      <w:bookmarkEnd w:id="1824"/>
      <w:bookmarkEnd w:id="1825"/>
      <w:bookmarkEnd w:id="1826"/>
      <w:bookmarkEnd w:id="1827"/>
      <w:bookmarkEnd w:id="1828"/>
      <w:bookmarkEnd w:id="1829"/>
      <w:bookmarkEnd w:id="1830"/>
      <w:bookmarkEnd w:id="1831"/>
    </w:p>
    <w:p w14:paraId="557DD89C">
      <w:pPr>
        <w:pStyle w:val="48"/>
        <w:ind w:firstLine="0" w:firstLineChars="0"/>
        <w:jc w:val="center"/>
        <w:rPr>
          <w:rFonts w:cs="宋体" w:asciiTheme="minorEastAsia" w:hAnsiTheme="minorEastAsia" w:eastAsiaTheme="minorEastAsia"/>
          <w:b/>
          <w:sz w:val="24"/>
          <w:highlight w:val="none"/>
        </w:rPr>
      </w:pPr>
      <w:r>
        <w:rPr>
          <w:rFonts w:hint="eastAsia" w:asciiTheme="minorEastAsia" w:hAnsiTheme="minorEastAsia" w:eastAsiaTheme="minorEastAsia"/>
          <w:b/>
          <w:sz w:val="24"/>
          <w:highlight w:val="none"/>
          <w:lang w:eastAsia="zh-CN"/>
        </w:rPr>
        <w:t>供应商</w:t>
      </w:r>
      <w:r>
        <w:rPr>
          <w:rFonts w:hint="eastAsia" w:asciiTheme="minorEastAsia" w:hAnsiTheme="minorEastAsia" w:eastAsiaTheme="minorEastAsia"/>
          <w:b/>
          <w:sz w:val="24"/>
          <w:highlight w:val="none"/>
        </w:rPr>
        <w:t>控股及管理关系情况申报表</w:t>
      </w:r>
    </w:p>
    <w:p w14:paraId="5FF17862">
      <w:pPr>
        <w:adjustRightInd w:val="0"/>
        <w:snapToGrid w:val="0"/>
        <w:spacing w:line="440" w:lineRule="exact"/>
        <w:rPr>
          <w:rFonts w:asciiTheme="minorEastAsia" w:hAnsiTheme="minorEastAsia" w:eastAsiaTheme="minorEastAsia"/>
          <w:highlight w:val="none"/>
        </w:rPr>
      </w:pPr>
    </w:p>
    <w:p w14:paraId="7C2253D1">
      <w:pPr>
        <w:adjustRightInd w:val="0"/>
        <w:snapToGrid w:val="0"/>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我方参加</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项目[</w:t>
      </w:r>
      <w:r>
        <w:rPr>
          <w:rFonts w:hint="eastAsia" w:asciiTheme="minorEastAsia" w:hAnsiTheme="minorEastAsia" w:eastAsiaTheme="minorEastAsia"/>
          <w:bCs/>
          <w:szCs w:val="21"/>
          <w:highlight w:val="none"/>
          <w:u w:val="single"/>
          <w:lang w:eastAsia="zh-CN"/>
        </w:rPr>
        <w:t>询比项目</w:t>
      </w:r>
      <w:r>
        <w:rPr>
          <w:rFonts w:asciiTheme="minorEastAsia" w:hAnsiTheme="minorEastAsia" w:eastAsiaTheme="minorEastAsia"/>
          <w:bCs/>
          <w:szCs w:val="21"/>
          <w:highlight w:val="none"/>
          <w:u w:val="single"/>
        </w:rPr>
        <w:t>名称</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szCs w:val="21"/>
          <w:highlight w:val="none"/>
          <w:u w:val="single"/>
          <w:lang w:eastAsia="zh-CN"/>
        </w:rPr>
        <w:t>标包</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highlight w:val="none"/>
          <w:u w:val="single"/>
        </w:rPr>
        <w:t>】</w:t>
      </w:r>
      <w:r>
        <w:rPr>
          <w:rFonts w:hint="eastAsia" w:asciiTheme="minorEastAsia" w:hAnsiTheme="minorEastAsia" w:eastAsiaTheme="minorEastAsia"/>
          <w:b w:val="0"/>
          <w:bCs w:val="0"/>
          <w:highlight w:val="none"/>
          <w:u w:val="none"/>
          <w:lang w:val="en-US" w:eastAsia="zh-CN"/>
        </w:rPr>
        <w:t>的询比响应</w:t>
      </w:r>
      <w:r>
        <w:rPr>
          <w:rFonts w:hint="eastAsia" w:asciiTheme="minorEastAsia" w:hAnsiTheme="minorEastAsia" w:eastAsiaTheme="minorEastAsia"/>
          <w:highlight w:val="none"/>
        </w:rPr>
        <w:t>，根据法律法规维护</w:t>
      </w:r>
      <w:r>
        <w:rPr>
          <w:rFonts w:hint="eastAsia" w:asciiTheme="minorEastAsia" w:hAnsiTheme="minorEastAsia" w:eastAsiaTheme="minorEastAsia"/>
          <w:highlight w:val="none"/>
          <w:lang w:val="en-US" w:eastAsia="zh-CN"/>
        </w:rPr>
        <w:t>询比</w:t>
      </w:r>
      <w:r>
        <w:rPr>
          <w:rFonts w:hint="eastAsia" w:asciiTheme="minorEastAsia" w:hAnsiTheme="minorEastAsia" w:eastAsiaTheme="minorEastAsia"/>
          <w:highlight w:val="none"/>
        </w:rPr>
        <w:t>公正性的相关规定，特就本单位控股及管理关系情况申报如下，并承担申报不实的责任。</w:t>
      </w:r>
    </w:p>
    <w:tbl>
      <w:tblPr>
        <w:tblStyle w:val="39"/>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49"/>
        <w:gridCol w:w="1267"/>
        <w:gridCol w:w="4650"/>
      </w:tblGrid>
      <w:tr w14:paraId="22C9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Align w:val="center"/>
          </w:tcPr>
          <w:p w14:paraId="48E57E14">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申报人名称</w:t>
            </w:r>
          </w:p>
        </w:tc>
        <w:tc>
          <w:tcPr>
            <w:tcW w:w="3536" w:type="pct"/>
            <w:gridSpan w:val="2"/>
            <w:vAlign w:val="center"/>
          </w:tcPr>
          <w:p w14:paraId="42D959A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名称]】</w:t>
            </w:r>
          </w:p>
        </w:tc>
      </w:tr>
      <w:tr w14:paraId="1472F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464" w:type="pct"/>
            <w:vMerge w:val="restart"/>
            <w:vAlign w:val="center"/>
          </w:tcPr>
          <w:p w14:paraId="67681AA6">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法定代表人</w:t>
            </w:r>
            <w:r>
              <w:rPr>
                <w:rFonts w:cs="宋体" w:asciiTheme="minorEastAsia" w:hAnsiTheme="minorEastAsia" w:eastAsiaTheme="minorEastAsia"/>
                <w:highlight w:val="none"/>
              </w:rPr>
              <w:t>/单位负责人</w:t>
            </w:r>
          </w:p>
        </w:tc>
        <w:tc>
          <w:tcPr>
            <w:tcW w:w="757" w:type="pct"/>
            <w:vAlign w:val="center"/>
          </w:tcPr>
          <w:p w14:paraId="6CD9E55B">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姓    名</w:t>
            </w:r>
          </w:p>
        </w:tc>
        <w:tc>
          <w:tcPr>
            <w:tcW w:w="2779" w:type="pct"/>
            <w:vAlign w:val="center"/>
          </w:tcPr>
          <w:p w14:paraId="3174BCC6">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w:t>
            </w:r>
            <w:r>
              <w:rPr>
                <w:rFonts w:asciiTheme="minorEastAsia" w:hAnsiTheme="minorEastAsia" w:eastAsiaTheme="minorEastAsia"/>
                <w:szCs w:val="21"/>
                <w:highlight w:val="none"/>
                <w:u w:val="single"/>
              </w:rPr>
              <w:t>姓名</w:t>
            </w:r>
            <w:r>
              <w:rPr>
                <w:rFonts w:hint="eastAsia" w:asciiTheme="minorEastAsia" w:hAnsiTheme="minorEastAsia" w:eastAsiaTheme="minorEastAsia"/>
                <w:szCs w:val="21"/>
                <w:highlight w:val="none"/>
                <w:u w:val="single"/>
              </w:rPr>
              <w:t>]</w:t>
            </w:r>
            <w:r>
              <w:rPr>
                <w:rFonts w:hint="eastAsia" w:asciiTheme="minorEastAsia" w:hAnsiTheme="minorEastAsia" w:eastAsiaTheme="minorEastAsia"/>
                <w:highlight w:val="none"/>
                <w:u w:val="single"/>
              </w:rPr>
              <w:t>】</w:t>
            </w:r>
          </w:p>
        </w:tc>
      </w:tr>
      <w:tr w14:paraId="6B3BA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464" w:type="pct"/>
            <w:vMerge w:val="continue"/>
            <w:vAlign w:val="center"/>
          </w:tcPr>
          <w:p w14:paraId="61A0D598">
            <w:pPr>
              <w:adjustRightInd w:val="0"/>
              <w:snapToGrid w:val="0"/>
              <w:spacing w:line="440" w:lineRule="exact"/>
              <w:rPr>
                <w:rFonts w:cs="宋体" w:asciiTheme="minorEastAsia" w:hAnsiTheme="minorEastAsia" w:eastAsiaTheme="minorEastAsia"/>
                <w:highlight w:val="none"/>
              </w:rPr>
            </w:pPr>
          </w:p>
        </w:tc>
        <w:tc>
          <w:tcPr>
            <w:tcW w:w="757" w:type="pct"/>
            <w:vAlign w:val="center"/>
          </w:tcPr>
          <w:p w14:paraId="236AA238">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身份证号</w:t>
            </w:r>
          </w:p>
        </w:tc>
        <w:tc>
          <w:tcPr>
            <w:tcW w:w="2779" w:type="pct"/>
            <w:vAlign w:val="center"/>
          </w:tcPr>
          <w:p w14:paraId="0FE49E1B">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highlight w:val="none"/>
                <w:u w:val="single"/>
              </w:rPr>
              <w:t>【XX</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法定代表人/负责人身份证号]</w:t>
            </w:r>
            <w:r>
              <w:rPr>
                <w:rFonts w:hint="eastAsia" w:asciiTheme="minorEastAsia" w:hAnsiTheme="minorEastAsia" w:eastAsiaTheme="minorEastAsia"/>
                <w:highlight w:val="none"/>
                <w:u w:val="single"/>
              </w:rPr>
              <w:t>】</w:t>
            </w:r>
          </w:p>
        </w:tc>
      </w:tr>
      <w:tr w14:paraId="58A9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1464" w:type="pct"/>
            <w:vAlign w:val="center"/>
          </w:tcPr>
          <w:p w14:paraId="73C4745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控股股东/投资人名称</w:t>
            </w:r>
          </w:p>
          <w:p w14:paraId="685E999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3536" w:type="pct"/>
            <w:gridSpan w:val="2"/>
            <w:vAlign w:val="center"/>
          </w:tcPr>
          <w:p w14:paraId="40DE6678">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控股股东/投资人名称及出资比例]】</w:t>
            </w:r>
          </w:p>
        </w:tc>
      </w:tr>
      <w:tr w14:paraId="35E8B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1464" w:type="pct"/>
            <w:vAlign w:val="center"/>
          </w:tcPr>
          <w:p w14:paraId="3D096986">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非控股股东/投资人名称</w:t>
            </w:r>
          </w:p>
          <w:p w14:paraId="5608DC1A">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及出资比例</w:t>
            </w:r>
          </w:p>
        </w:tc>
        <w:tc>
          <w:tcPr>
            <w:tcW w:w="3536" w:type="pct"/>
            <w:gridSpan w:val="2"/>
            <w:vAlign w:val="center"/>
          </w:tcPr>
          <w:p w14:paraId="1841F3DA">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【XX公司/XX[自然人]，出资比例XX%，[</w:t>
            </w:r>
            <w:r>
              <w:rPr>
                <w:rFonts w:hint="eastAsia" w:asciiTheme="minorEastAsia" w:hAnsiTheme="minorEastAsia" w:eastAsiaTheme="minorEastAsia"/>
                <w:bCs/>
                <w:szCs w:val="21"/>
                <w:highlight w:val="none"/>
                <w:u w:val="single"/>
                <w:lang w:eastAsia="zh-CN"/>
              </w:rPr>
              <w:t>供应商</w:t>
            </w:r>
            <w:r>
              <w:rPr>
                <w:rFonts w:hint="eastAsia" w:asciiTheme="minorEastAsia" w:hAnsiTheme="minorEastAsia" w:eastAsiaTheme="minorEastAsia"/>
                <w:bCs/>
                <w:szCs w:val="21"/>
                <w:highlight w:val="none"/>
                <w:u w:val="single"/>
              </w:rPr>
              <w:t>非控股股东/投资人名称及出资比例，应从出资比例由高到低进行填写]】</w:t>
            </w:r>
          </w:p>
        </w:tc>
      </w:tr>
      <w:tr w14:paraId="6122B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464" w:type="pct"/>
            <w:vMerge w:val="restart"/>
            <w:vAlign w:val="center"/>
          </w:tcPr>
          <w:p w14:paraId="21E1CB5F">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757" w:type="pct"/>
            <w:vAlign w:val="center"/>
          </w:tcPr>
          <w:p w14:paraId="19B0005B">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管理关系单位名称</w:t>
            </w:r>
          </w:p>
        </w:tc>
        <w:tc>
          <w:tcPr>
            <w:tcW w:w="2779" w:type="pct"/>
            <w:vAlign w:val="center"/>
          </w:tcPr>
          <w:p w14:paraId="3A6FFBCC">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【XX公司[管理单位全称]】</w:t>
            </w:r>
          </w:p>
        </w:tc>
      </w:tr>
      <w:tr w14:paraId="584B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1464" w:type="pct"/>
            <w:vMerge w:val="continue"/>
            <w:vAlign w:val="center"/>
          </w:tcPr>
          <w:p w14:paraId="054F6AFC">
            <w:pPr>
              <w:adjustRightInd w:val="0"/>
              <w:snapToGrid w:val="0"/>
              <w:spacing w:line="440" w:lineRule="exact"/>
              <w:rPr>
                <w:rFonts w:cs="宋体" w:asciiTheme="minorEastAsia" w:hAnsiTheme="minorEastAsia" w:eastAsiaTheme="minorEastAsia"/>
                <w:highlight w:val="none"/>
              </w:rPr>
            </w:pPr>
          </w:p>
        </w:tc>
        <w:tc>
          <w:tcPr>
            <w:tcW w:w="757" w:type="pct"/>
            <w:vAlign w:val="center"/>
          </w:tcPr>
          <w:p w14:paraId="0B4F908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被管理关系单位名称</w:t>
            </w:r>
          </w:p>
        </w:tc>
        <w:tc>
          <w:tcPr>
            <w:tcW w:w="2779" w:type="pct"/>
            <w:vAlign w:val="center"/>
          </w:tcPr>
          <w:p w14:paraId="65CDBF05">
            <w:pPr>
              <w:adjustRightInd w:val="0"/>
              <w:snapToGrid w:val="0"/>
              <w:spacing w:line="440" w:lineRule="exact"/>
              <w:rPr>
                <w:rFonts w:cs="宋体" w:asciiTheme="minorEastAsia" w:hAnsiTheme="minorEastAsia" w:eastAsiaTheme="minorEastAsia"/>
                <w:highlight w:val="none"/>
              </w:rPr>
            </w:pPr>
            <w:r>
              <w:rPr>
                <w:rFonts w:hint="eastAsia" w:asciiTheme="minorEastAsia" w:hAnsiTheme="minorEastAsia" w:eastAsiaTheme="minorEastAsia"/>
                <w:bCs/>
                <w:szCs w:val="21"/>
                <w:highlight w:val="none"/>
                <w:u w:val="single"/>
              </w:rPr>
              <w:t>【XX公司[被管理单位全称，应列明所有被管理单位]】</w:t>
            </w:r>
          </w:p>
        </w:tc>
      </w:tr>
      <w:tr w14:paraId="2B5C7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5000" w:type="pct"/>
            <w:gridSpan w:val="3"/>
            <w:shd w:val="clear" w:color="auto" w:fill="auto"/>
            <w:vAlign w:val="center"/>
          </w:tcPr>
          <w:p w14:paraId="2402266D">
            <w:pPr>
              <w:adjustRightInd w:val="0"/>
              <w:snapToGrid w:val="0"/>
              <w:spacing w:line="440" w:lineRule="exact"/>
              <w:rPr>
                <w:rFonts w:cs="宋体" w:asciiTheme="minorEastAsia" w:hAnsiTheme="minorEastAsia" w:eastAsiaTheme="minorEastAsia"/>
                <w:highlight w:val="none"/>
              </w:rPr>
            </w:pPr>
            <w:r>
              <w:rPr>
                <w:rFonts w:hint="eastAsia" w:cs="宋体" w:asciiTheme="minorEastAsia" w:hAnsiTheme="minorEastAsia" w:eastAsiaTheme="minorEastAsia"/>
                <w:highlight w:val="none"/>
              </w:rPr>
              <w:t>备注：</w:t>
            </w:r>
          </w:p>
        </w:tc>
      </w:tr>
    </w:tbl>
    <w:p w14:paraId="11DBC008">
      <w:pPr>
        <w:spacing w:line="440" w:lineRule="exact"/>
        <w:ind w:firstLine="1134" w:firstLineChars="540"/>
        <w:rPr>
          <w:rFonts w:asciiTheme="minorEastAsia" w:hAnsiTheme="minorEastAsia" w:eastAsiaTheme="minorEastAsia"/>
          <w:szCs w:val="21"/>
          <w:highlight w:val="none"/>
        </w:rPr>
      </w:pPr>
    </w:p>
    <w:p w14:paraId="4A24BECE">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70A58E4E">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26AD0C08">
      <w:pPr>
        <w:spacing w:line="440" w:lineRule="exact"/>
        <w:ind w:firstLine="424" w:firstLineChars="202"/>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2D04769">
      <w:pPr>
        <w:topLinePunct/>
        <w:spacing w:line="440" w:lineRule="exact"/>
        <w:jc w:val="left"/>
        <w:rPr>
          <w:rFonts w:asciiTheme="minorEastAsia" w:hAnsiTheme="minorEastAsia" w:eastAsiaTheme="minorEastAsia"/>
          <w:highlight w:val="none"/>
        </w:r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asciiTheme="minorEastAsia" w:hAnsiTheme="minorEastAsia" w:eastAsiaTheme="minorEastAsia"/>
          <w:highlight w:val="none"/>
        </w:rPr>
        <w:t xml:space="preserve"> </w:t>
      </w:r>
    </w:p>
    <w:p w14:paraId="605D61EB">
      <w:pPr>
        <w:rPr>
          <w:rFonts w:asciiTheme="minorEastAsia" w:hAnsiTheme="minorEastAsia" w:eastAsiaTheme="minorEastAsia"/>
          <w:highlight w:val="none"/>
        </w:rPr>
      </w:pPr>
      <w:r>
        <w:rPr>
          <w:rFonts w:hint="eastAsia" w:asciiTheme="minorEastAsia" w:hAnsiTheme="minorEastAsia" w:eastAsiaTheme="minorEastAsia"/>
          <w:highlight w:val="none"/>
        </w:rPr>
        <w:t>1.控股股东/投资人是指出资比例在50%以上，或者出资比例不足50%，但享有公司股东会/董事会控制权的投资方（含单位或者个人）。</w:t>
      </w:r>
    </w:p>
    <w:p w14:paraId="7D6DAAF6">
      <w:pPr>
        <w:rPr>
          <w:rFonts w:asciiTheme="minorEastAsia" w:hAnsiTheme="minorEastAsia" w:eastAsiaTheme="minorEastAsia"/>
          <w:highlight w:val="none"/>
        </w:rPr>
      </w:pPr>
      <w:r>
        <w:rPr>
          <w:rFonts w:hint="eastAsia" w:asciiTheme="minorEastAsia" w:hAnsiTheme="minorEastAsia" w:eastAsiaTheme="minorEastAsia"/>
          <w:highlight w:val="none"/>
        </w:rPr>
        <w:t>2.管理关系单位是指与不具有出资持股关系的其他单位之间存在管理与被管理关系的单位。</w:t>
      </w:r>
    </w:p>
    <w:p w14:paraId="49E7351F">
      <w:pPr>
        <w:rPr>
          <w:rFonts w:asciiTheme="minorEastAsia" w:hAnsiTheme="minorEastAsia" w:eastAsiaTheme="minorEastAsia"/>
          <w:highlight w:val="none"/>
        </w:rPr>
      </w:pPr>
      <w:r>
        <w:rPr>
          <w:rFonts w:hint="eastAsia" w:asciiTheme="minorEastAsia" w:hAnsiTheme="minorEastAsia" w:eastAsiaTheme="minorEastAsia"/>
          <w:highlight w:val="none"/>
        </w:rPr>
        <w:t>3.如未有相关情况，请在相应栏填写“无”。</w:t>
      </w:r>
    </w:p>
    <w:p w14:paraId="112FE6E0">
      <w:pPr>
        <w:rPr>
          <w:rFonts w:hint="eastAsia" w:asciiTheme="minorEastAsia" w:hAnsiTheme="minorEastAsia" w:eastAsiaTheme="minorEastAsia"/>
          <w:highlight w:val="none"/>
        </w:rPr>
      </w:pPr>
      <w:r>
        <w:rPr>
          <w:rFonts w:hint="eastAsia" w:asciiTheme="minorEastAsia" w:hAnsiTheme="minorEastAsia" w:eastAsiaTheme="minorEastAsia"/>
          <w:highlight w:val="none"/>
        </w:rPr>
        <w:t>4.除本文件允许</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进行填写的内容以外，</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不得对本文件进行修改。</w:t>
      </w:r>
    </w:p>
    <w:p w14:paraId="5A4425B7">
      <w:pPr>
        <w:rPr>
          <w:rFonts w:hint="eastAsia" w:asciiTheme="minorEastAsia" w:hAnsiTheme="minorEastAsia" w:eastAsiaTheme="minorEastAsia"/>
          <w:highlight w:val="none"/>
        </w:rPr>
      </w:pPr>
      <w:r>
        <w:rPr>
          <w:rFonts w:hint="eastAsia" w:asciiTheme="minorEastAsia" w:hAnsiTheme="minorEastAsia" w:eastAsiaTheme="minorEastAsia"/>
          <w:highlight w:val="none"/>
        </w:rPr>
        <w:br w:type="page"/>
      </w:r>
    </w:p>
    <w:p w14:paraId="41FE0E6B">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lang w:eastAsia="zh-CN"/>
        </w:rPr>
      </w:pPr>
      <w:bookmarkStart w:id="1832" w:name="_Toc31204"/>
      <w:bookmarkStart w:id="1833" w:name="_Toc24967"/>
      <w:bookmarkStart w:id="1834" w:name="_Toc27946"/>
      <w:bookmarkStart w:id="1835" w:name="_Toc25558"/>
      <w:bookmarkStart w:id="1836" w:name="_Toc22868"/>
      <w:bookmarkStart w:id="1837" w:name="_Toc17689"/>
      <w:bookmarkStart w:id="1838" w:name="_Toc27304"/>
      <w:bookmarkStart w:id="1839" w:name="_Toc4824"/>
      <w:bookmarkStart w:id="1840" w:name="_Toc55"/>
      <w:bookmarkStart w:id="1841" w:name="_Toc20895"/>
      <w:r>
        <w:rPr>
          <w:rFonts w:hint="eastAsia" w:cs="Times New Roman" w:asciiTheme="minorEastAsia" w:hAnsiTheme="minorEastAsia" w:eastAsiaTheme="minorEastAsia"/>
          <w:b/>
          <w:bCs/>
          <w:kern w:val="2"/>
          <w:sz w:val="24"/>
          <w:szCs w:val="24"/>
          <w:lang w:val="en-US" w:eastAsia="zh-CN" w:bidi="ar-SA"/>
        </w:rPr>
        <w:t>14.</w:t>
      </w: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lang w:eastAsia="zh-CN"/>
        </w:rPr>
        <w:t>人须知前附表偏离表</w:t>
      </w:r>
      <w:bookmarkEnd w:id="1832"/>
      <w:bookmarkEnd w:id="1833"/>
      <w:bookmarkEnd w:id="1834"/>
      <w:bookmarkEnd w:id="1835"/>
      <w:bookmarkEnd w:id="1836"/>
      <w:bookmarkEnd w:id="1837"/>
      <w:bookmarkEnd w:id="1838"/>
      <w:bookmarkEnd w:id="1839"/>
      <w:bookmarkEnd w:id="1840"/>
      <w:bookmarkEnd w:id="1841"/>
    </w:p>
    <w:p w14:paraId="41D07687">
      <w:pPr>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人须知前附表偏离表</w:t>
      </w:r>
    </w:p>
    <w:p w14:paraId="51B0F886">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分包（标包）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3EBB91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535C1F19">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序号</w:t>
            </w:r>
          </w:p>
        </w:tc>
        <w:tc>
          <w:tcPr>
            <w:tcW w:w="1746" w:type="dxa"/>
            <w:vAlign w:val="center"/>
          </w:tcPr>
          <w:p w14:paraId="70350743">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文件条目号</w:t>
            </w:r>
          </w:p>
        </w:tc>
        <w:tc>
          <w:tcPr>
            <w:tcW w:w="2208" w:type="dxa"/>
            <w:vAlign w:val="center"/>
          </w:tcPr>
          <w:p w14:paraId="23A756BD">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文件的</w:t>
            </w:r>
            <w:r>
              <w:rPr>
                <w:rFonts w:hint="eastAsia" w:cs="宋体" w:asciiTheme="minorEastAsia" w:hAnsiTheme="minorEastAsia" w:eastAsiaTheme="minorEastAsia"/>
                <w:szCs w:val="21"/>
              </w:rPr>
              <w:t>合同</w:t>
            </w:r>
            <w:r>
              <w:rPr>
                <w:rFonts w:cs="宋体" w:asciiTheme="minorEastAsia" w:hAnsiTheme="minorEastAsia" w:eastAsiaTheme="minorEastAsia"/>
                <w:szCs w:val="21"/>
              </w:rPr>
              <w:t>条款</w:t>
            </w:r>
          </w:p>
        </w:tc>
        <w:tc>
          <w:tcPr>
            <w:tcW w:w="2435" w:type="dxa"/>
            <w:vAlign w:val="center"/>
          </w:tcPr>
          <w:p w14:paraId="793DA30E">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文件</w:t>
            </w:r>
            <w:r>
              <w:rPr>
                <w:rFonts w:cs="宋体" w:asciiTheme="minorEastAsia" w:hAnsiTheme="minorEastAsia" w:eastAsiaTheme="minorEastAsia"/>
                <w:szCs w:val="21"/>
              </w:rPr>
              <w:t>偏离情况</w:t>
            </w:r>
          </w:p>
        </w:tc>
        <w:tc>
          <w:tcPr>
            <w:tcW w:w="1364" w:type="dxa"/>
            <w:vAlign w:val="center"/>
          </w:tcPr>
          <w:p w14:paraId="33AA2941">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说明</w:t>
            </w:r>
          </w:p>
        </w:tc>
      </w:tr>
      <w:tr w14:paraId="61492D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5404CE8">
            <w:pPr>
              <w:adjustRightInd w:val="0"/>
              <w:snapToGrid w:val="0"/>
              <w:spacing w:line="440" w:lineRule="exact"/>
              <w:rPr>
                <w:rFonts w:cs="宋体" w:asciiTheme="minorEastAsia" w:hAnsiTheme="minorEastAsia" w:eastAsiaTheme="minorEastAsia"/>
                <w:szCs w:val="21"/>
              </w:rPr>
            </w:pPr>
          </w:p>
        </w:tc>
        <w:tc>
          <w:tcPr>
            <w:tcW w:w="1746" w:type="dxa"/>
            <w:vAlign w:val="center"/>
          </w:tcPr>
          <w:p w14:paraId="08A2FF10">
            <w:pPr>
              <w:adjustRightInd w:val="0"/>
              <w:snapToGrid w:val="0"/>
              <w:spacing w:line="440" w:lineRule="exact"/>
              <w:rPr>
                <w:rFonts w:cs="宋体" w:asciiTheme="minorEastAsia" w:hAnsiTheme="minorEastAsia" w:eastAsiaTheme="minorEastAsia"/>
                <w:szCs w:val="21"/>
              </w:rPr>
            </w:pPr>
          </w:p>
        </w:tc>
        <w:tc>
          <w:tcPr>
            <w:tcW w:w="2208" w:type="dxa"/>
            <w:vAlign w:val="center"/>
          </w:tcPr>
          <w:p w14:paraId="683D25BB">
            <w:pPr>
              <w:adjustRightInd w:val="0"/>
              <w:snapToGrid w:val="0"/>
              <w:spacing w:line="440" w:lineRule="exact"/>
              <w:rPr>
                <w:rFonts w:cs="宋体" w:asciiTheme="minorEastAsia" w:hAnsiTheme="minorEastAsia" w:eastAsiaTheme="minorEastAsia"/>
                <w:szCs w:val="21"/>
              </w:rPr>
            </w:pPr>
          </w:p>
        </w:tc>
        <w:tc>
          <w:tcPr>
            <w:tcW w:w="2435" w:type="dxa"/>
            <w:vAlign w:val="center"/>
          </w:tcPr>
          <w:p w14:paraId="200C35D1">
            <w:pPr>
              <w:adjustRightInd w:val="0"/>
              <w:snapToGrid w:val="0"/>
              <w:spacing w:line="440" w:lineRule="exact"/>
              <w:rPr>
                <w:rFonts w:cs="宋体" w:asciiTheme="minorEastAsia" w:hAnsiTheme="minorEastAsia" w:eastAsiaTheme="minorEastAsia"/>
                <w:szCs w:val="21"/>
              </w:rPr>
            </w:pPr>
          </w:p>
        </w:tc>
        <w:tc>
          <w:tcPr>
            <w:tcW w:w="1364" w:type="dxa"/>
            <w:vAlign w:val="center"/>
          </w:tcPr>
          <w:p w14:paraId="7569A5AF">
            <w:pPr>
              <w:adjustRightInd w:val="0"/>
              <w:snapToGrid w:val="0"/>
              <w:spacing w:line="440" w:lineRule="exact"/>
              <w:rPr>
                <w:rFonts w:cs="宋体" w:asciiTheme="minorEastAsia" w:hAnsiTheme="minorEastAsia" w:eastAsiaTheme="minorEastAsia"/>
                <w:szCs w:val="21"/>
              </w:rPr>
            </w:pPr>
          </w:p>
        </w:tc>
      </w:tr>
      <w:tr w14:paraId="699C0D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5462B64">
            <w:pPr>
              <w:adjustRightInd w:val="0"/>
              <w:snapToGrid w:val="0"/>
              <w:spacing w:line="440" w:lineRule="exact"/>
              <w:rPr>
                <w:rFonts w:cs="宋体" w:asciiTheme="minorEastAsia" w:hAnsiTheme="minorEastAsia" w:eastAsiaTheme="minorEastAsia"/>
                <w:szCs w:val="21"/>
              </w:rPr>
            </w:pPr>
          </w:p>
        </w:tc>
        <w:tc>
          <w:tcPr>
            <w:tcW w:w="1746" w:type="dxa"/>
            <w:vAlign w:val="center"/>
          </w:tcPr>
          <w:p w14:paraId="11A01EDF">
            <w:pPr>
              <w:adjustRightInd w:val="0"/>
              <w:snapToGrid w:val="0"/>
              <w:spacing w:line="440" w:lineRule="exact"/>
              <w:rPr>
                <w:rFonts w:cs="宋体" w:asciiTheme="minorEastAsia" w:hAnsiTheme="minorEastAsia" w:eastAsiaTheme="minorEastAsia"/>
                <w:szCs w:val="21"/>
              </w:rPr>
            </w:pPr>
          </w:p>
        </w:tc>
        <w:tc>
          <w:tcPr>
            <w:tcW w:w="2208" w:type="dxa"/>
            <w:vAlign w:val="center"/>
          </w:tcPr>
          <w:p w14:paraId="4C6A5F24">
            <w:pPr>
              <w:adjustRightInd w:val="0"/>
              <w:snapToGrid w:val="0"/>
              <w:spacing w:line="440" w:lineRule="exact"/>
              <w:rPr>
                <w:rFonts w:cs="宋体" w:asciiTheme="minorEastAsia" w:hAnsiTheme="minorEastAsia" w:eastAsiaTheme="minorEastAsia"/>
                <w:szCs w:val="21"/>
              </w:rPr>
            </w:pPr>
          </w:p>
        </w:tc>
        <w:tc>
          <w:tcPr>
            <w:tcW w:w="2435" w:type="dxa"/>
            <w:vAlign w:val="center"/>
          </w:tcPr>
          <w:p w14:paraId="43137D8D">
            <w:pPr>
              <w:adjustRightInd w:val="0"/>
              <w:snapToGrid w:val="0"/>
              <w:spacing w:line="440" w:lineRule="exact"/>
              <w:rPr>
                <w:rFonts w:cs="宋体" w:asciiTheme="minorEastAsia" w:hAnsiTheme="minorEastAsia" w:eastAsiaTheme="minorEastAsia"/>
                <w:szCs w:val="21"/>
              </w:rPr>
            </w:pPr>
          </w:p>
        </w:tc>
        <w:tc>
          <w:tcPr>
            <w:tcW w:w="1364" w:type="dxa"/>
            <w:vAlign w:val="center"/>
          </w:tcPr>
          <w:p w14:paraId="2F9CB7D0">
            <w:pPr>
              <w:adjustRightInd w:val="0"/>
              <w:snapToGrid w:val="0"/>
              <w:spacing w:line="440" w:lineRule="exact"/>
              <w:rPr>
                <w:rFonts w:cs="宋体" w:asciiTheme="minorEastAsia" w:hAnsiTheme="minorEastAsia" w:eastAsiaTheme="minorEastAsia"/>
                <w:szCs w:val="21"/>
              </w:rPr>
            </w:pPr>
          </w:p>
        </w:tc>
      </w:tr>
      <w:tr w14:paraId="3557E7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33DAB57A">
            <w:pPr>
              <w:adjustRightInd w:val="0"/>
              <w:snapToGrid w:val="0"/>
              <w:spacing w:line="440" w:lineRule="exact"/>
              <w:rPr>
                <w:rFonts w:cs="宋体" w:asciiTheme="minorEastAsia" w:hAnsiTheme="minorEastAsia" w:eastAsiaTheme="minorEastAsia"/>
                <w:szCs w:val="21"/>
              </w:rPr>
            </w:pPr>
          </w:p>
        </w:tc>
        <w:tc>
          <w:tcPr>
            <w:tcW w:w="1746" w:type="dxa"/>
            <w:vAlign w:val="center"/>
          </w:tcPr>
          <w:p w14:paraId="18DD73A4">
            <w:pPr>
              <w:adjustRightInd w:val="0"/>
              <w:snapToGrid w:val="0"/>
              <w:spacing w:line="440" w:lineRule="exact"/>
              <w:rPr>
                <w:rFonts w:cs="宋体" w:asciiTheme="minorEastAsia" w:hAnsiTheme="minorEastAsia" w:eastAsiaTheme="minorEastAsia"/>
                <w:szCs w:val="21"/>
              </w:rPr>
            </w:pPr>
          </w:p>
        </w:tc>
        <w:tc>
          <w:tcPr>
            <w:tcW w:w="2208" w:type="dxa"/>
            <w:vAlign w:val="center"/>
          </w:tcPr>
          <w:p w14:paraId="36B217E3">
            <w:pPr>
              <w:adjustRightInd w:val="0"/>
              <w:snapToGrid w:val="0"/>
              <w:spacing w:line="440" w:lineRule="exact"/>
              <w:rPr>
                <w:rFonts w:cs="宋体" w:asciiTheme="minorEastAsia" w:hAnsiTheme="minorEastAsia" w:eastAsiaTheme="minorEastAsia"/>
                <w:szCs w:val="21"/>
              </w:rPr>
            </w:pPr>
          </w:p>
        </w:tc>
        <w:tc>
          <w:tcPr>
            <w:tcW w:w="2435" w:type="dxa"/>
            <w:vAlign w:val="center"/>
          </w:tcPr>
          <w:p w14:paraId="70B074D4">
            <w:pPr>
              <w:adjustRightInd w:val="0"/>
              <w:snapToGrid w:val="0"/>
              <w:spacing w:line="440" w:lineRule="exact"/>
              <w:rPr>
                <w:rFonts w:cs="宋体" w:asciiTheme="minorEastAsia" w:hAnsiTheme="minorEastAsia" w:eastAsiaTheme="minorEastAsia"/>
                <w:szCs w:val="21"/>
              </w:rPr>
            </w:pPr>
          </w:p>
        </w:tc>
        <w:tc>
          <w:tcPr>
            <w:tcW w:w="1364" w:type="dxa"/>
            <w:vAlign w:val="center"/>
          </w:tcPr>
          <w:p w14:paraId="628E18FD">
            <w:pPr>
              <w:adjustRightInd w:val="0"/>
              <w:snapToGrid w:val="0"/>
              <w:spacing w:line="440" w:lineRule="exact"/>
              <w:rPr>
                <w:rFonts w:cs="宋体" w:asciiTheme="minorEastAsia" w:hAnsiTheme="minorEastAsia" w:eastAsiaTheme="minorEastAsia"/>
                <w:szCs w:val="21"/>
              </w:rPr>
            </w:pPr>
          </w:p>
        </w:tc>
      </w:tr>
      <w:tr w14:paraId="530B23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1140867F">
            <w:pPr>
              <w:adjustRightInd w:val="0"/>
              <w:snapToGrid w:val="0"/>
              <w:spacing w:line="440" w:lineRule="exact"/>
              <w:rPr>
                <w:rFonts w:cs="宋体" w:asciiTheme="minorEastAsia" w:hAnsiTheme="minorEastAsia" w:eastAsiaTheme="minorEastAsia"/>
                <w:szCs w:val="21"/>
              </w:rPr>
            </w:pPr>
          </w:p>
        </w:tc>
        <w:tc>
          <w:tcPr>
            <w:tcW w:w="1746" w:type="dxa"/>
            <w:vAlign w:val="center"/>
          </w:tcPr>
          <w:p w14:paraId="6971ACDA">
            <w:pPr>
              <w:adjustRightInd w:val="0"/>
              <w:snapToGrid w:val="0"/>
              <w:spacing w:line="440" w:lineRule="exact"/>
              <w:rPr>
                <w:rFonts w:cs="宋体" w:asciiTheme="minorEastAsia" w:hAnsiTheme="minorEastAsia" w:eastAsiaTheme="minorEastAsia"/>
                <w:szCs w:val="21"/>
              </w:rPr>
            </w:pPr>
          </w:p>
        </w:tc>
        <w:tc>
          <w:tcPr>
            <w:tcW w:w="2208" w:type="dxa"/>
            <w:vAlign w:val="center"/>
          </w:tcPr>
          <w:p w14:paraId="7D00B23A">
            <w:pPr>
              <w:adjustRightInd w:val="0"/>
              <w:snapToGrid w:val="0"/>
              <w:spacing w:line="440" w:lineRule="exact"/>
              <w:rPr>
                <w:rFonts w:cs="宋体" w:asciiTheme="minorEastAsia" w:hAnsiTheme="minorEastAsia" w:eastAsiaTheme="minorEastAsia"/>
                <w:szCs w:val="21"/>
              </w:rPr>
            </w:pPr>
          </w:p>
        </w:tc>
        <w:tc>
          <w:tcPr>
            <w:tcW w:w="2435" w:type="dxa"/>
            <w:vAlign w:val="center"/>
          </w:tcPr>
          <w:p w14:paraId="6CB0A25C">
            <w:pPr>
              <w:adjustRightInd w:val="0"/>
              <w:snapToGrid w:val="0"/>
              <w:spacing w:line="440" w:lineRule="exact"/>
              <w:rPr>
                <w:rFonts w:cs="宋体" w:asciiTheme="minorEastAsia" w:hAnsiTheme="minorEastAsia" w:eastAsiaTheme="minorEastAsia"/>
                <w:szCs w:val="21"/>
              </w:rPr>
            </w:pPr>
          </w:p>
        </w:tc>
        <w:tc>
          <w:tcPr>
            <w:tcW w:w="1364" w:type="dxa"/>
            <w:vAlign w:val="center"/>
          </w:tcPr>
          <w:p w14:paraId="655844CF">
            <w:pPr>
              <w:adjustRightInd w:val="0"/>
              <w:snapToGrid w:val="0"/>
              <w:spacing w:line="440" w:lineRule="exact"/>
              <w:rPr>
                <w:rFonts w:cs="宋体" w:asciiTheme="minorEastAsia" w:hAnsiTheme="minorEastAsia" w:eastAsiaTheme="minorEastAsia"/>
                <w:szCs w:val="21"/>
              </w:rPr>
            </w:pPr>
          </w:p>
        </w:tc>
      </w:tr>
      <w:tr w14:paraId="6DE673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0ED1067D">
            <w:pPr>
              <w:adjustRightInd w:val="0"/>
              <w:snapToGrid w:val="0"/>
              <w:spacing w:line="440" w:lineRule="exact"/>
              <w:rPr>
                <w:rFonts w:cs="宋体" w:asciiTheme="minorEastAsia" w:hAnsiTheme="minorEastAsia" w:eastAsiaTheme="minorEastAsia"/>
                <w:szCs w:val="21"/>
              </w:rPr>
            </w:pPr>
          </w:p>
        </w:tc>
        <w:tc>
          <w:tcPr>
            <w:tcW w:w="1746" w:type="dxa"/>
            <w:vAlign w:val="center"/>
          </w:tcPr>
          <w:p w14:paraId="0475BBFF">
            <w:pPr>
              <w:adjustRightInd w:val="0"/>
              <w:snapToGrid w:val="0"/>
              <w:spacing w:line="440" w:lineRule="exact"/>
              <w:rPr>
                <w:rFonts w:cs="宋体" w:asciiTheme="minorEastAsia" w:hAnsiTheme="minorEastAsia" w:eastAsiaTheme="minorEastAsia"/>
                <w:szCs w:val="21"/>
              </w:rPr>
            </w:pPr>
          </w:p>
        </w:tc>
        <w:tc>
          <w:tcPr>
            <w:tcW w:w="2208" w:type="dxa"/>
            <w:vAlign w:val="center"/>
          </w:tcPr>
          <w:p w14:paraId="4C39B8E1">
            <w:pPr>
              <w:adjustRightInd w:val="0"/>
              <w:snapToGrid w:val="0"/>
              <w:spacing w:line="440" w:lineRule="exact"/>
              <w:rPr>
                <w:rFonts w:cs="宋体" w:asciiTheme="minorEastAsia" w:hAnsiTheme="minorEastAsia" w:eastAsiaTheme="minorEastAsia"/>
                <w:szCs w:val="21"/>
              </w:rPr>
            </w:pPr>
          </w:p>
        </w:tc>
        <w:tc>
          <w:tcPr>
            <w:tcW w:w="2435" w:type="dxa"/>
            <w:vAlign w:val="center"/>
          </w:tcPr>
          <w:p w14:paraId="6E65BE4B">
            <w:pPr>
              <w:adjustRightInd w:val="0"/>
              <w:snapToGrid w:val="0"/>
              <w:spacing w:line="440" w:lineRule="exact"/>
              <w:rPr>
                <w:rFonts w:cs="宋体" w:asciiTheme="minorEastAsia" w:hAnsiTheme="minorEastAsia" w:eastAsiaTheme="minorEastAsia"/>
                <w:szCs w:val="21"/>
              </w:rPr>
            </w:pPr>
          </w:p>
        </w:tc>
        <w:tc>
          <w:tcPr>
            <w:tcW w:w="1364" w:type="dxa"/>
            <w:vAlign w:val="center"/>
          </w:tcPr>
          <w:p w14:paraId="71A1FA13">
            <w:pPr>
              <w:adjustRightInd w:val="0"/>
              <w:snapToGrid w:val="0"/>
              <w:spacing w:line="440" w:lineRule="exact"/>
              <w:rPr>
                <w:rFonts w:cs="宋体" w:asciiTheme="minorEastAsia" w:hAnsiTheme="minorEastAsia" w:eastAsiaTheme="minorEastAsia"/>
                <w:szCs w:val="21"/>
              </w:rPr>
            </w:pPr>
          </w:p>
        </w:tc>
      </w:tr>
      <w:tr w14:paraId="44AEF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35CB539">
            <w:pPr>
              <w:adjustRightInd w:val="0"/>
              <w:snapToGrid w:val="0"/>
              <w:spacing w:line="440" w:lineRule="exact"/>
              <w:rPr>
                <w:rFonts w:cs="宋体" w:asciiTheme="minorEastAsia" w:hAnsiTheme="minorEastAsia" w:eastAsiaTheme="minorEastAsia"/>
                <w:szCs w:val="21"/>
              </w:rPr>
            </w:pPr>
          </w:p>
        </w:tc>
        <w:tc>
          <w:tcPr>
            <w:tcW w:w="1746" w:type="dxa"/>
            <w:vAlign w:val="center"/>
          </w:tcPr>
          <w:p w14:paraId="68C7FC69">
            <w:pPr>
              <w:adjustRightInd w:val="0"/>
              <w:snapToGrid w:val="0"/>
              <w:spacing w:line="440" w:lineRule="exact"/>
              <w:rPr>
                <w:rFonts w:cs="宋体" w:asciiTheme="minorEastAsia" w:hAnsiTheme="minorEastAsia" w:eastAsiaTheme="minorEastAsia"/>
                <w:szCs w:val="21"/>
              </w:rPr>
            </w:pPr>
          </w:p>
        </w:tc>
        <w:tc>
          <w:tcPr>
            <w:tcW w:w="2208" w:type="dxa"/>
            <w:vAlign w:val="center"/>
          </w:tcPr>
          <w:p w14:paraId="64E6D894">
            <w:pPr>
              <w:adjustRightInd w:val="0"/>
              <w:snapToGrid w:val="0"/>
              <w:spacing w:line="440" w:lineRule="exact"/>
              <w:rPr>
                <w:rFonts w:cs="宋体" w:asciiTheme="minorEastAsia" w:hAnsiTheme="minorEastAsia" w:eastAsiaTheme="minorEastAsia"/>
                <w:szCs w:val="21"/>
              </w:rPr>
            </w:pPr>
          </w:p>
        </w:tc>
        <w:tc>
          <w:tcPr>
            <w:tcW w:w="2435" w:type="dxa"/>
            <w:vAlign w:val="center"/>
          </w:tcPr>
          <w:p w14:paraId="4530C881">
            <w:pPr>
              <w:adjustRightInd w:val="0"/>
              <w:snapToGrid w:val="0"/>
              <w:spacing w:line="440" w:lineRule="exact"/>
              <w:rPr>
                <w:rFonts w:cs="宋体" w:asciiTheme="minorEastAsia" w:hAnsiTheme="minorEastAsia" w:eastAsiaTheme="minorEastAsia"/>
                <w:szCs w:val="21"/>
              </w:rPr>
            </w:pPr>
          </w:p>
        </w:tc>
        <w:tc>
          <w:tcPr>
            <w:tcW w:w="1364" w:type="dxa"/>
            <w:vAlign w:val="center"/>
          </w:tcPr>
          <w:p w14:paraId="2AA57E5C">
            <w:pPr>
              <w:adjustRightInd w:val="0"/>
              <w:snapToGrid w:val="0"/>
              <w:spacing w:line="440" w:lineRule="exact"/>
              <w:rPr>
                <w:rFonts w:cs="宋体" w:asciiTheme="minorEastAsia" w:hAnsiTheme="minorEastAsia" w:eastAsiaTheme="minorEastAsia"/>
                <w:szCs w:val="21"/>
              </w:rPr>
            </w:pPr>
          </w:p>
        </w:tc>
      </w:tr>
    </w:tbl>
    <w:p w14:paraId="6E3A11E6">
      <w:pPr>
        <w:adjustRightInd w:val="0"/>
        <w:snapToGrid w:val="0"/>
        <w:spacing w:after="120" w:line="440" w:lineRule="exact"/>
        <w:ind w:left="693" w:hanging="693" w:hangingChars="330"/>
        <w:rPr>
          <w:rFonts w:cs="宋体" w:asciiTheme="minorEastAsia" w:hAnsiTheme="minorEastAsia" w:eastAsiaTheme="minorEastAsia"/>
          <w:szCs w:val="21"/>
        </w:rPr>
      </w:pPr>
    </w:p>
    <w:p w14:paraId="50B5E4A1">
      <w:pPr>
        <w:spacing w:line="440" w:lineRule="exact"/>
        <w:ind w:firstLine="1134" w:firstLineChars="540"/>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r>
        <w:rPr>
          <w:rFonts w:hint="eastAsia" w:asciiTheme="minorEastAsia" w:hAnsiTheme="minorEastAsia" w:eastAsiaTheme="minorEastAsia"/>
          <w:szCs w:val="21"/>
          <w:u w:val="single"/>
        </w:rPr>
        <w:t>　　　　　　　　</w:t>
      </w:r>
    </w:p>
    <w:p w14:paraId="0218696B">
      <w:pPr>
        <w:spacing w:line="440" w:lineRule="exact"/>
        <w:ind w:firstLine="1134" w:firstLineChars="540"/>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
    <w:p w14:paraId="14849993">
      <w:pPr>
        <w:widowControl/>
        <w:tabs>
          <w:tab w:val="left" w:pos="3018"/>
          <w:tab w:val="left" w:pos="6260"/>
        </w:tabs>
        <w:ind w:firstLine="2692" w:firstLineChars="1282"/>
        <w:jc w:val="left"/>
        <w:rPr>
          <w:rFonts w:cs="Arial" w:asciiTheme="minorEastAsia" w:hAnsiTheme="minorEastAsia" w:eastAsiaTheme="minorEastAsia"/>
          <w:bCs/>
          <w:szCs w:val="21"/>
        </w:rPr>
      </w:pPr>
    </w:p>
    <w:p w14:paraId="50AED7F0">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日期：XX年 XX月XX日</w:t>
      </w:r>
    </w:p>
    <w:p w14:paraId="5E260307">
      <w:pPr>
        <w:widowControl/>
        <w:jc w:val="left"/>
        <w:rPr>
          <w:rFonts w:asciiTheme="minorEastAsia" w:hAnsiTheme="minorEastAsia" w:eastAsiaTheme="minorEastAsia"/>
        </w:rPr>
      </w:pPr>
    </w:p>
    <w:p w14:paraId="33DBF6F7">
      <w:pPr>
        <w:adjustRightInd w:val="0"/>
        <w:snapToGrid w:val="0"/>
        <w:spacing w:line="440" w:lineRule="exact"/>
        <w:rPr>
          <w:rFonts w:cs="宋体" w:asciiTheme="minorEastAsia" w:hAnsiTheme="minorEastAsia" w:eastAsiaTheme="minorEastAsia"/>
          <w:szCs w:val="21"/>
        </w:rPr>
      </w:pPr>
      <w:r>
        <w:rPr>
          <w:rFonts w:hint="eastAsia" w:cs="宋体" w:asciiTheme="minorEastAsia" w:hAnsiTheme="minorEastAsia" w:eastAsiaTheme="minorEastAsia"/>
          <w:b/>
          <w:szCs w:val="21"/>
        </w:rPr>
        <w:t>编制要求</w:t>
      </w:r>
      <w:r>
        <w:rPr>
          <w:rFonts w:hint="eastAsia" w:cs="宋体" w:asciiTheme="minorEastAsia" w:hAnsiTheme="minorEastAsia" w:eastAsiaTheme="minorEastAsia"/>
          <w:szCs w:val="21"/>
        </w:rPr>
        <w:t>：</w:t>
      </w:r>
    </w:p>
    <w:p w14:paraId="2EB28273">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1. 提供本文件的原件；</w:t>
      </w:r>
    </w:p>
    <w:p w14:paraId="44886C14">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2. 如对商务规范书条款无任何偏离，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人仅需在本偏离表中填写“无偏离”即可。当本表为空时，视为</w:t>
      </w:r>
      <w:r>
        <w:rPr>
          <w:rFonts w:hint="eastAsia" w:asciiTheme="minorEastAsia" w:hAnsiTheme="minorEastAsia" w:eastAsiaTheme="minorEastAsia"/>
          <w:lang w:val="en-US" w:eastAsia="zh-CN"/>
        </w:rPr>
        <w:t>响应</w:t>
      </w:r>
      <w:r>
        <w:rPr>
          <w:rFonts w:hint="eastAsia" w:asciiTheme="minorEastAsia" w:hAnsiTheme="minorEastAsia" w:eastAsiaTheme="minorEastAsia"/>
        </w:rPr>
        <w:t>文件对商务规范书条款全部满足，无偏离；</w:t>
      </w:r>
    </w:p>
    <w:p w14:paraId="44528A33">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3. 如对商务规范书条款存在偏离，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人需对商务规范书条款存在的偏离逐条做出说明。</w:t>
      </w:r>
    </w:p>
    <w:p w14:paraId="3F8262A0">
      <w:pPr>
        <w:pStyle w:val="48"/>
        <w:adjustRightInd w:val="0"/>
        <w:snapToGrid w:val="0"/>
        <w:spacing w:line="440" w:lineRule="exact"/>
        <w:ind w:firstLine="0" w:firstLineChars="0"/>
        <w:rPr>
          <w:rFonts w:asciiTheme="minorEastAsia" w:hAnsiTheme="minorEastAsia" w:eastAsiaTheme="minorEastAsia"/>
        </w:rPr>
      </w:pPr>
      <w:r>
        <w:rPr>
          <w:rFonts w:hint="eastAsia"/>
        </w:rPr>
        <w:t xml:space="preserve">4. </w:t>
      </w:r>
      <w:r>
        <w:rPr>
          <w:rFonts w:hint="eastAsia"/>
          <w:lang w:val="en-US" w:eastAsia="zh-CN"/>
        </w:rPr>
        <w:t>响应</w:t>
      </w:r>
      <w:r>
        <w:rPr>
          <w:rFonts w:hint="eastAsia"/>
        </w:rPr>
        <w:t>人可以根据实际情况对本文件进行调整和修改，但应满足</w:t>
      </w:r>
      <w:r>
        <w:rPr>
          <w:rFonts w:hint="eastAsia"/>
          <w:lang w:val="en-US" w:eastAsia="zh-CN"/>
        </w:rPr>
        <w:t>询比</w:t>
      </w:r>
      <w:r>
        <w:rPr>
          <w:rFonts w:hint="eastAsia"/>
        </w:rPr>
        <w:t>文件对本文件的要求。</w:t>
      </w:r>
    </w:p>
    <w:p w14:paraId="2C6396E4">
      <w:pPr>
        <w:pStyle w:val="48"/>
        <w:adjustRightInd w:val="0"/>
        <w:snapToGrid w:val="0"/>
        <w:spacing w:line="440" w:lineRule="exact"/>
        <w:ind w:firstLine="0" w:firstLineChars="0"/>
        <w:rPr>
          <w:rFonts w:asciiTheme="minorEastAsia" w:hAnsiTheme="minorEastAsia" w:eastAsiaTheme="minorEastAsia"/>
        </w:rPr>
        <w:sectPr>
          <w:pgSz w:w="11906" w:h="16838"/>
          <w:pgMar w:top="1440" w:right="1797" w:bottom="1440" w:left="1797" w:header="851" w:footer="992" w:gutter="0"/>
          <w:pgNumType w:fmt="decimal"/>
          <w:cols w:space="425" w:num="1"/>
          <w:docGrid w:type="lines" w:linePitch="312" w:charSpace="0"/>
        </w:sectPr>
      </w:pPr>
    </w:p>
    <w:p w14:paraId="643659ED">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1"/>
        <w:rPr>
          <w:rFonts w:hint="eastAsia" w:cs="Times New Roman" w:asciiTheme="minorEastAsia" w:hAnsiTheme="minorEastAsia" w:eastAsiaTheme="minorEastAsia"/>
          <w:sz w:val="24"/>
          <w:szCs w:val="24"/>
          <w:highlight w:val="none"/>
          <w:lang w:val="en-US" w:eastAsia="zh-CN"/>
        </w:rPr>
      </w:pPr>
      <w:bookmarkStart w:id="1842" w:name="_Toc23052"/>
      <w:bookmarkStart w:id="1843" w:name="_Toc12035"/>
      <w:bookmarkStart w:id="1844" w:name="_Toc13727"/>
      <w:bookmarkStart w:id="1845" w:name="_Toc14606"/>
      <w:bookmarkStart w:id="1846" w:name="_Toc26683"/>
      <w:bookmarkStart w:id="1847" w:name="_Toc29133"/>
      <w:bookmarkStart w:id="1848" w:name="_Toc1215"/>
      <w:bookmarkStart w:id="1849" w:name="_Toc15310"/>
      <w:bookmarkStart w:id="1850" w:name="_Toc20946"/>
      <w:bookmarkStart w:id="1851" w:name="_Toc21921"/>
      <w:bookmarkStart w:id="1852" w:name="_Toc30872"/>
      <w:bookmarkStart w:id="1853" w:name="_Toc2866"/>
      <w:bookmarkStart w:id="1854" w:name="_Toc475472683"/>
      <w:bookmarkStart w:id="1855" w:name="_Toc486866109"/>
      <w:bookmarkStart w:id="1856" w:name="_Toc24962"/>
      <w:bookmarkStart w:id="1857" w:name="_Toc447265610"/>
      <w:bookmarkStart w:id="1858" w:name="_Toc447265324"/>
      <w:r>
        <w:rPr>
          <w:rFonts w:hint="eastAsia" w:cs="Times New Roman" w:asciiTheme="minorEastAsia" w:hAnsiTheme="minorEastAsia" w:eastAsiaTheme="minorEastAsia"/>
          <w:sz w:val="24"/>
          <w:szCs w:val="24"/>
          <w:highlight w:val="none"/>
          <w:lang w:val="en-US" w:eastAsia="zh-CN"/>
        </w:rPr>
        <w:t>15.商务条款偏离表</w:t>
      </w:r>
      <w:bookmarkEnd w:id="1842"/>
      <w:bookmarkEnd w:id="1843"/>
    </w:p>
    <w:p w14:paraId="75709140">
      <w:pPr>
        <w:rPr>
          <w:rFonts w:ascii="宋体" w:hAnsi="宋体" w:eastAsia="宋体" w:cs="宋体"/>
          <w:color w:val="000000" w:themeColor="text1"/>
          <w14:textFill>
            <w14:solidFill>
              <w14:schemeClr w14:val="tx1"/>
            </w14:solidFill>
          </w14:textFill>
        </w:rPr>
      </w:pPr>
    </w:p>
    <w:p w14:paraId="1040E444">
      <w:pPr>
        <w:widowControl w:val="0"/>
        <w:ind w:firstLine="0" w:firstLineChars="0"/>
        <w:jc w:val="center"/>
        <w:rPr>
          <w:rFonts w:ascii="宋体" w:hAnsi="宋体" w:eastAsia="宋体" w:cs="Times New Roman"/>
          <w:b/>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color w:val="000000" w:themeColor="text1"/>
          <w:kern w:val="2"/>
          <w:sz w:val="24"/>
          <w:szCs w:val="24"/>
          <w:lang w:val="en-US" w:eastAsia="zh-CN" w:bidi="ar-SA"/>
          <w14:textFill>
            <w14:solidFill>
              <w14:schemeClr w14:val="tx1"/>
            </w14:solidFill>
          </w14:textFill>
        </w:rPr>
        <w:t>商务条款偏离表</w:t>
      </w:r>
    </w:p>
    <w:p w14:paraId="16C85312">
      <w:pPr>
        <w:jc w:val="center"/>
        <w:rPr>
          <w:rFonts w:ascii="宋体" w:hAnsi="宋体" w:eastAsia="宋体" w:cs="宋体"/>
          <w:color w:val="000000" w:themeColor="text1"/>
          <w:sz w:val="24"/>
          <w14:textFill>
            <w14:solidFill>
              <w14:schemeClr w14:val="tx1"/>
            </w14:solidFill>
          </w14:textFill>
        </w:rPr>
      </w:pPr>
    </w:p>
    <w:p w14:paraId="1B88F15A">
      <w:pPr>
        <w:adjustRightInd w:val="0"/>
        <w:snapToGrid w:val="0"/>
        <w:spacing w:after="120"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项目名称：</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招标编号：</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 xml:space="preserve"> 标包：</w:t>
      </w:r>
      <w:r>
        <w:rPr>
          <w:rFonts w:hint="eastAsia" w:ascii="宋体" w:hAnsi="宋体" w:eastAsia="宋体" w:cs="宋体"/>
          <w:color w:val="000000" w:themeColor="text1"/>
          <w:szCs w:val="21"/>
          <w:u w:val="single"/>
          <w14:textFill>
            <w14:solidFill>
              <w14:schemeClr w14:val="tx1"/>
            </w14:solidFill>
          </w14:textFill>
        </w:rPr>
        <w:t xml:space="preserve">       </w:t>
      </w:r>
    </w:p>
    <w:tbl>
      <w:tblPr>
        <w:tblStyle w:val="39"/>
        <w:tblW w:w="8438" w:type="dxa"/>
        <w:tblInd w:w="4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823"/>
        <w:gridCol w:w="3464"/>
        <w:gridCol w:w="1429"/>
        <w:gridCol w:w="1037"/>
      </w:tblGrid>
      <w:tr w14:paraId="0D6EC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7" w:hRule="atLeast"/>
        </w:trPr>
        <w:tc>
          <w:tcPr>
            <w:tcW w:w="685" w:type="dxa"/>
            <w:vAlign w:val="center"/>
          </w:tcPr>
          <w:p w14:paraId="35A29D73">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序号</w:t>
            </w:r>
          </w:p>
        </w:tc>
        <w:tc>
          <w:tcPr>
            <w:tcW w:w="1823" w:type="dxa"/>
            <w:vAlign w:val="center"/>
          </w:tcPr>
          <w:p w14:paraId="11931ADA">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询比</w:t>
            </w:r>
            <w:r>
              <w:rPr>
                <w:rFonts w:ascii="宋体" w:hAnsi="宋体" w:eastAsia="宋体" w:cs="宋体"/>
                <w:color w:val="000000" w:themeColor="text1"/>
                <w:szCs w:val="21"/>
                <w14:textFill>
                  <w14:solidFill>
                    <w14:schemeClr w14:val="tx1"/>
                  </w14:solidFill>
                </w14:textFill>
              </w:rPr>
              <w:t>文件条目号</w:t>
            </w:r>
          </w:p>
        </w:tc>
        <w:tc>
          <w:tcPr>
            <w:tcW w:w="3464" w:type="dxa"/>
            <w:vAlign w:val="center"/>
          </w:tcPr>
          <w:p w14:paraId="7B5DDBB7">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询比</w:t>
            </w:r>
            <w:r>
              <w:rPr>
                <w:rFonts w:ascii="宋体" w:hAnsi="宋体" w:eastAsia="宋体" w:cs="宋体"/>
                <w:color w:val="000000" w:themeColor="text1"/>
                <w:szCs w:val="21"/>
                <w14:textFill>
                  <w14:solidFill>
                    <w14:schemeClr w14:val="tx1"/>
                  </w14:solidFill>
                </w14:textFill>
              </w:rPr>
              <w:t>文件的</w:t>
            </w:r>
            <w:r>
              <w:rPr>
                <w:rFonts w:hint="eastAsia" w:ascii="宋体" w:hAnsi="宋体" w:eastAsia="宋体" w:cs="宋体"/>
                <w:color w:val="000000" w:themeColor="text1"/>
                <w:szCs w:val="21"/>
                <w14:textFill>
                  <w14:solidFill>
                    <w14:schemeClr w14:val="tx1"/>
                  </w14:solidFill>
                </w14:textFill>
              </w:rPr>
              <w:t>商务</w:t>
            </w:r>
            <w:r>
              <w:rPr>
                <w:rFonts w:ascii="宋体" w:hAnsi="宋体" w:eastAsia="宋体" w:cs="宋体"/>
                <w:color w:val="000000" w:themeColor="text1"/>
                <w:szCs w:val="21"/>
                <w14:textFill>
                  <w14:solidFill>
                    <w14:schemeClr w14:val="tx1"/>
                  </w14:solidFill>
                </w14:textFill>
              </w:rPr>
              <w:t>条款</w:t>
            </w:r>
          </w:p>
        </w:tc>
        <w:tc>
          <w:tcPr>
            <w:tcW w:w="1429" w:type="dxa"/>
            <w:vAlign w:val="center"/>
          </w:tcPr>
          <w:p w14:paraId="5B92E24B">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响应</w:t>
            </w:r>
            <w:r>
              <w:rPr>
                <w:rFonts w:hint="eastAsia" w:ascii="宋体" w:hAnsi="宋体" w:eastAsia="宋体" w:cs="宋体"/>
                <w:color w:val="000000" w:themeColor="text1"/>
                <w:szCs w:val="21"/>
                <w14:textFill>
                  <w14:solidFill>
                    <w14:schemeClr w14:val="tx1"/>
                  </w14:solidFill>
                </w14:textFill>
              </w:rPr>
              <w:t>文件</w:t>
            </w:r>
            <w:r>
              <w:rPr>
                <w:rFonts w:ascii="宋体" w:hAnsi="宋体" w:eastAsia="宋体" w:cs="宋体"/>
                <w:color w:val="000000" w:themeColor="text1"/>
                <w:szCs w:val="21"/>
                <w14:textFill>
                  <w14:solidFill>
                    <w14:schemeClr w14:val="tx1"/>
                  </w14:solidFill>
                </w14:textFill>
              </w:rPr>
              <w:t>偏离情况</w:t>
            </w:r>
          </w:p>
        </w:tc>
        <w:tc>
          <w:tcPr>
            <w:tcW w:w="1037" w:type="dxa"/>
            <w:vAlign w:val="center"/>
          </w:tcPr>
          <w:p w14:paraId="5B7D265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ascii="宋体" w:hAnsi="宋体" w:eastAsia="宋体" w:cs="宋体"/>
                <w:color w:val="000000" w:themeColor="text1"/>
                <w:szCs w:val="21"/>
                <w14:textFill>
                  <w14:solidFill>
                    <w14:schemeClr w14:val="tx1"/>
                  </w14:solidFill>
                </w14:textFill>
              </w:rPr>
              <w:t>说明</w:t>
            </w:r>
          </w:p>
        </w:tc>
      </w:tr>
      <w:tr w14:paraId="1D4C7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6" w:hRule="atLeast"/>
        </w:trPr>
        <w:tc>
          <w:tcPr>
            <w:tcW w:w="685" w:type="dxa"/>
            <w:vAlign w:val="center"/>
          </w:tcPr>
          <w:p w14:paraId="2D3032E1">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w:t>
            </w:r>
          </w:p>
        </w:tc>
        <w:tc>
          <w:tcPr>
            <w:tcW w:w="1823" w:type="dxa"/>
            <w:vAlign w:val="center"/>
          </w:tcPr>
          <w:p w14:paraId="0D2972B2">
            <w:pPr>
              <w:widowControl/>
              <w:jc w:val="center"/>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kern w:val="0"/>
                <w:sz w:val="20"/>
                <w:szCs w:val="20"/>
                <w:lang w:bidi="ar"/>
              </w:rPr>
              <w:t>服务期限</w:t>
            </w:r>
          </w:p>
        </w:tc>
        <w:tc>
          <w:tcPr>
            <w:tcW w:w="3464" w:type="dxa"/>
            <w:vAlign w:val="center"/>
          </w:tcPr>
          <w:p w14:paraId="2D9169CE">
            <w:pPr>
              <w:widowControl/>
              <w:jc w:val="left"/>
              <w:textAlignment w:val="center"/>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kern w:val="0"/>
                <w:sz w:val="20"/>
                <w:szCs w:val="20"/>
                <w:lang w:bidi="ar"/>
              </w:rPr>
              <w:t>合同签订后36个月</w:t>
            </w:r>
          </w:p>
        </w:tc>
        <w:tc>
          <w:tcPr>
            <w:tcW w:w="1429" w:type="dxa"/>
            <w:vAlign w:val="center"/>
          </w:tcPr>
          <w:p w14:paraId="249A033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4EB7D598">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624FEB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3" w:hRule="atLeast"/>
        </w:trPr>
        <w:tc>
          <w:tcPr>
            <w:tcW w:w="685" w:type="dxa"/>
            <w:vAlign w:val="center"/>
          </w:tcPr>
          <w:p w14:paraId="6061AE2D">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2</w:t>
            </w:r>
          </w:p>
        </w:tc>
        <w:tc>
          <w:tcPr>
            <w:tcW w:w="1823" w:type="dxa"/>
            <w:vAlign w:val="center"/>
          </w:tcPr>
          <w:p w14:paraId="5E4A34DB">
            <w:pPr>
              <w:autoSpaceDE w:val="0"/>
              <w:autoSpaceDN w:val="0"/>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szCs w:val="21"/>
              </w:rPr>
              <w:t>服务地点</w:t>
            </w:r>
          </w:p>
        </w:tc>
        <w:tc>
          <w:tcPr>
            <w:tcW w:w="3464" w:type="dxa"/>
            <w:vAlign w:val="center"/>
          </w:tcPr>
          <w:p w14:paraId="34327895">
            <w:pPr>
              <w:spacing w:line="360" w:lineRule="exact"/>
              <w:jc w:val="lef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Cs/>
                <w:szCs w:val="21"/>
              </w:rPr>
              <w:t>贵州省遵义市湄潭县</w:t>
            </w:r>
          </w:p>
        </w:tc>
        <w:tc>
          <w:tcPr>
            <w:tcW w:w="1429" w:type="dxa"/>
            <w:vAlign w:val="center"/>
          </w:tcPr>
          <w:p w14:paraId="333D2B0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53D115E2">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2970DC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61AB9F8E">
            <w:pPr>
              <w:adjustRightInd w:val="0"/>
              <w:snapToGrid w:val="0"/>
              <w:spacing w:line="440" w:lineRule="exact"/>
              <w:jc w:val="center"/>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w:t>
            </w:r>
          </w:p>
        </w:tc>
        <w:tc>
          <w:tcPr>
            <w:tcW w:w="1823" w:type="dxa"/>
            <w:vAlign w:val="center"/>
          </w:tcPr>
          <w:p w14:paraId="4E72D365">
            <w:pPr>
              <w:autoSpaceDE w:val="0"/>
              <w:autoSpaceDN w:val="0"/>
              <w:jc w:val="center"/>
              <w:rPr>
                <w:rFonts w:ascii="宋体" w:hAnsi="宋体" w:eastAsia="宋体" w:cs="宋体"/>
                <w:bCs/>
                <w:szCs w:val="21"/>
              </w:rPr>
            </w:pPr>
            <w:r>
              <w:rPr>
                <w:rFonts w:hint="eastAsia" w:ascii="宋体" w:hAnsi="宋体" w:eastAsia="宋体" w:cs="Times New Roman"/>
                <w:color w:val="000000"/>
                <w:szCs w:val="21"/>
              </w:rPr>
              <w:t>★支付</w:t>
            </w:r>
          </w:p>
        </w:tc>
        <w:tc>
          <w:tcPr>
            <w:tcW w:w="3464" w:type="dxa"/>
            <w:vAlign w:val="center"/>
          </w:tcPr>
          <w:p w14:paraId="5C766622">
            <w:pPr>
              <w:spacing w:line="360" w:lineRule="exact"/>
              <w:jc w:val="left"/>
              <w:rPr>
                <w:rFonts w:hint="eastAsia" w:ascii="宋体" w:hAnsi="宋体" w:eastAsia="宋体" w:cs="宋体"/>
                <w:bCs/>
                <w:szCs w:val="21"/>
              </w:rPr>
            </w:pPr>
            <w:r>
              <w:rPr>
                <w:rFonts w:hint="eastAsia" w:ascii="宋体" w:hAnsi="宋体" w:eastAsia="宋体" w:cs="宋体"/>
                <w:bCs/>
                <w:szCs w:val="21"/>
              </w:rPr>
              <w:t>甲乙双方签订合同，乙方完成所有移动支付服务工作 ，验收合格后乙方提供以下材料后30个工作日内支付合同金额97%的款项。</w:t>
            </w:r>
          </w:p>
          <w:p w14:paraId="3003C06C">
            <w:pPr>
              <w:spacing w:line="360" w:lineRule="exact"/>
              <w:jc w:val="left"/>
              <w:rPr>
                <w:rFonts w:hint="eastAsia" w:ascii="宋体" w:hAnsi="宋体" w:eastAsia="宋体" w:cs="宋体"/>
                <w:bCs/>
                <w:szCs w:val="21"/>
              </w:rPr>
            </w:pPr>
            <w:r>
              <w:rPr>
                <w:rFonts w:hint="eastAsia" w:ascii="宋体" w:hAnsi="宋体" w:eastAsia="宋体" w:cs="宋体"/>
                <w:bCs/>
                <w:szCs w:val="21"/>
              </w:rPr>
              <w:t>（1）相应金额的、符合国家规定的增值税专用发票</w:t>
            </w:r>
          </w:p>
          <w:p w14:paraId="7A3F6E16">
            <w:pPr>
              <w:spacing w:line="360" w:lineRule="exact"/>
              <w:jc w:val="left"/>
              <w:rPr>
                <w:rFonts w:hint="eastAsia" w:ascii="宋体" w:hAnsi="宋体" w:eastAsia="宋体" w:cs="宋体"/>
                <w:bCs/>
                <w:szCs w:val="21"/>
              </w:rPr>
            </w:pPr>
            <w:r>
              <w:rPr>
                <w:rFonts w:hint="eastAsia" w:ascii="宋体" w:hAnsi="宋体" w:eastAsia="宋体" w:cs="宋体"/>
                <w:bCs/>
                <w:szCs w:val="21"/>
              </w:rPr>
              <w:t>（2）项目验收报告原件一份。</w:t>
            </w:r>
          </w:p>
          <w:p w14:paraId="0D20ABBA">
            <w:pPr>
              <w:spacing w:line="360" w:lineRule="exact"/>
              <w:jc w:val="left"/>
              <w:rPr>
                <w:rFonts w:hint="eastAsia" w:ascii="宋体" w:hAnsi="宋体" w:eastAsia="宋体" w:cs="宋体"/>
                <w:bCs/>
                <w:szCs w:val="21"/>
              </w:rPr>
            </w:pPr>
            <w:r>
              <w:rPr>
                <w:rFonts w:hint="eastAsia" w:ascii="宋体" w:hAnsi="宋体" w:eastAsia="宋体" w:cs="宋体"/>
                <w:bCs/>
                <w:szCs w:val="21"/>
              </w:rPr>
              <w:t>（3）付款通知书，原件一份。</w:t>
            </w:r>
          </w:p>
          <w:p w14:paraId="163E1D4A">
            <w:pPr>
              <w:spacing w:line="360" w:lineRule="exact"/>
              <w:jc w:val="left"/>
              <w:rPr>
                <w:rFonts w:hint="eastAsia" w:ascii="宋体" w:hAnsi="宋体" w:eastAsia="宋体" w:cs="宋体"/>
                <w:bCs/>
                <w:szCs w:val="21"/>
              </w:rPr>
            </w:pPr>
            <w:r>
              <w:rPr>
                <w:rFonts w:hint="eastAsia" w:ascii="宋体" w:hAnsi="宋体" w:eastAsia="宋体" w:cs="宋体"/>
                <w:bCs/>
                <w:szCs w:val="21"/>
              </w:rPr>
              <w:t>验收合格之日起满一年后无质量问题，甲方收到乙方发票30个工作日内支付剩下3%的款项:</w:t>
            </w:r>
          </w:p>
          <w:p w14:paraId="4002308F">
            <w:pPr>
              <w:spacing w:line="360" w:lineRule="exact"/>
              <w:jc w:val="left"/>
              <w:rPr>
                <w:rFonts w:hint="eastAsia" w:ascii="宋体" w:hAnsi="宋体" w:eastAsia="宋体" w:cs="宋体"/>
                <w:bCs/>
                <w:szCs w:val="21"/>
              </w:rPr>
            </w:pPr>
            <w:r>
              <w:rPr>
                <w:rFonts w:hint="eastAsia" w:ascii="宋体" w:hAnsi="宋体" w:eastAsia="宋体" w:cs="宋体"/>
                <w:bCs/>
                <w:szCs w:val="21"/>
              </w:rPr>
              <w:t>（1）付款通知书，原件一份。</w:t>
            </w:r>
          </w:p>
          <w:p w14:paraId="0386DFEF">
            <w:pPr>
              <w:spacing w:line="360" w:lineRule="exact"/>
              <w:jc w:val="left"/>
              <w:rPr>
                <w:rFonts w:ascii="宋体" w:hAnsi="宋体" w:eastAsia="宋体" w:cs="宋体"/>
                <w:bCs/>
                <w:szCs w:val="21"/>
              </w:rPr>
            </w:pPr>
            <w:r>
              <w:rPr>
                <w:rFonts w:hint="eastAsia" w:ascii="宋体" w:hAnsi="宋体" w:eastAsia="宋体" w:cs="宋体"/>
                <w:bCs/>
                <w:szCs w:val="21"/>
              </w:rPr>
              <w:t>（2）相应金额的、符合国家规定的增值税专用发票。</w:t>
            </w:r>
          </w:p>
        </w:tc>
        <w:tc>
          <w:tcPr>
            <w:tcW w:w="1429" w:type="dxa"/>
            <w:vAlign w:val="center"/>
          </w:tcPr>
          <w:p w14:paraId="374CB27E">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28AEB96C">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4593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883" w:hRule="atLeast"/>
        </w:trPr>
        <w:tc>
          <w:tcPr>
            <w:tcW w:w="685" w:type="dxa"/>
            <w:vAlign w:val="center"/>
          </w:tcPr>
          <w:p w14:paraId="30D59B83">
            <w:pPr>
              <w:adjustRightInd w:val="0"/>
              <w:snapToGrid w:val="0"/>
              <w:spacing w:line="440" w:lineRule="exact"/>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4</w:t>
            </w:r>
          </w:p>
        </w:tc>
        <w:tc>
          <w:tcPr>
            <w:tcW w:w="1823" w:type="dxa"/>
            <w:vAlign w:val="center"/>
          </w:tcPr>
          <w:p w14:paraId="2039D97A">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Times New Roman"/>
                <w:color w:val="000000"/>
                <w:szCs w:val="21"/>
              </w:rPr>
              <w:t>★</w:t>
            </w:r>
            <w:r>
              <w:rPr>
                <w:rFonts w:hint="eastAsia" w:ascii="宋体" w:hAnsi="宋体" w:eastAsia="宋体" w:cs="宋体"/>
                <w:color w:val="000000"/>
                <w:kern w:val="0"/>
                <w:szCs w:val="21"/>
                <w:lang w:bidi="ar"/>
              </w:rPr>
              <w:t>保修</w:t>
            </w:r>
          </w:p>
        </w:tc>
        <w:tc>
          <w:tcPr>
            <w:tcW w:w="3464" w:type="dxa"/>
            <w:vAlign w:val="center"/>
          </w:tcPr>
          <w:p w14:paraId="2A0A733D">
            <w:pPr>
              <w:widowControl/>
              <w:jc w:val="left"/>
              <w:textAlignment w:val="center"/>
              <w:rPr>
                <w:rFonts w:hint="eastAsia" w:ascii="宋体" w:hAnsi="宋体" w:eastAsia="宋体" w:cs="宋体"/>
                <w:bCs/>
                <w:szCs w:val="21"/>
                <w:lang w:eastAsia="zh-CN"/>
              </w:rPr>
            </w:pPr>
            <w:r>
              <w:rPr>
                <w:rFonts w:hint="eastAsia" w:ascii="宋体" w:hAnsi="宋体" w:eastAsia="宋体" w:cs="宋体"/>
                <w:bCs/>
                <w:szCs w:val="21"/>
                <w:lang w:eastAsia="zh-CN"/>
              </w:rPr>
              <w:t>乙方提供36个月维保服务。</w:t>
            </w:r>
          </w:p>
        </w:tc>
        <w:tc>
          <w:tcPr>
            <w:tcW w:w="1429" w:type="dxa"/>
            <w:vAlign w:val="center"/>
          </w:tcPr>
          <w:p w14:paraId="0E6CECB4">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6000932E">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A9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685" w:type="dxa"/>
            <w:vAlign w:val="center"/>
          </w:tcPr>
          <w:p w14:paraId="1FB7B186">
            <w:pPr>
              <w:adjustRightInd w:val="0"/>
              <w:snapToGrid w:val="0"/>
              <w:spacing w:line="440" w:lineRule="exact"/>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5</w:t>
            </w:r>
          </w:p>
        </w:tc>
        <w:tc>
          <w:tcPr>
            <w:tcW w:w="1823" w:type="dxa"/>
            <w:vAlign w:val="center"/>
          </w:tcPr>
          <w:p w14:paraId="6521845C">
            <w:pPr>
              <w:widowControl/>
              <w:jc w:val="center"/>
              <w:textAlignment w:val="center"/>
              <w:rPr>
                <w:rFonts w:ascii="宋体" w:hAnsi="宋体" w:eastAsia="宋体" w:cs="宋体"/>
                <w:bCs/>
                <w:szCs w:val="21"/>
              </w:rPr>
            </w:pPr>
            <w:r>
              <w:rPr>
                <w:rFonts w:hint="eastAsia" w:ascii="宋体" w:hAnsi="宋体" w:eastAsia="宋体" w:cs="宋体"/>
                <w:color w:val="000000"/>
                <w:kern w:val="0"/>
                <w:szCs w:val="21"/>
                <w:lang w:bidi="ar"/>
              </w:rPr>
              <w:t>★其他</w:t>
            </w:r>
          </w:p>
        </w:tc>
        <w:tc>
          <w:tcPr>
            <w:tcW w:w="3464" w:type="dxa"/>
            <w:vAlign w:val="center"/>
          </w:tcPr>
          <w:p w14:paraId="3295EAF7">
            <w:pPr>
              <w:widowControl/>
              <w:jc w:val="left"/>
              <w:textAlignment w:val="center"/>
              <w:rPr>
                <w:rFonts w:hint="eastAsia" w:ascii="宋体" w:hAnsi="宋体" w:eastAsia="宋体" w:cs="宋体"/>
                <w:bCs/>
                <w:szCs w:val="21"/>
                <w:lang w:eastAsia="zh-CN"/>
              </w:rPr>
            </w:pPr>
            <w:r>
              <w:rPr>
                <w:rFonts w:hint="eastAsia" w:ascii="宋体" w:hAnsi="宋体" w:eastAsia="宋体" w:cs="宋体"/>
                <w:bCs/>
                <w:szCs w:val="21"/>
                <w:lang w:eastAsia="zh-CN"/>
              </w:rPr>
              <w:t>★人员名单需作为合同附件，名单内人员变更需经甲方书面同意。</w:t>
            </w:r>
          </w:p>
        </w:tc>
        <w:tc>
          <w:tcPr>
            <w:tcW w:w="1429" w:type="dxa"/>
            <w:vAlign w:val="center"/>
          </w:tcPr>
          <w:p w14:paraId="571DCE7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66B33869">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5FD02B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4" w:hRule="atLeast"/>
        </w:trPr>
        <w:tc>
          <w:tcPr>
            <w:tcW w:w="685" w:type="dxa"/>
            <w:vAlign w:val="center"/>
          </w:tcPr>
          <w:p w14:paraId="458D8F52">
            <w:pPr>
              <w:spacing w:line="360" w:lineRule="exact"/>
              <w:jc w:val="center"/>
              <w:rPr>
                <w:rFonts w:hint="eastAsia" w:ascii="宋体" w:hAnsi="宋体" w:eastAsia="宋体" w:cs="宋体"/>
                <w:bCs/>
                <w:szCs w:val="21"/>
                <w:lang w:eastAsia="zh-CN"/>
              </w:rPr>
            </w:pPr>
            <w:r>
              <w:rPr>
                <w:rFonts w:hint="eastAsia" w:ascii="宋体" w:hAnsi="宋体" w:cs="宋体"/>
                <w:bCs/>
                <w:szCs w:val="21"/>
                <w:lang w:val="en-US" w:eastAsia="zh-CN"/>
              </w:rPr>
              <w:t>6</w:t>
            </w:r>
          </w:p>
        </w:tc>
        <w:tc>
          <w:tcPr>
            <w:tcW w:w="1823" w:type="dxa"/>
            <w:vAlign w:val="center"/>
          </w:tcPr>
          <w:p w14:paraId="3987C6CB">
            <w:pPr>
              <w:widowControl/>
              <w:jc w:val="center"/>
              <w:textAlignment w:val="center"/>
              <w:rPr>
                <w:rFonts w:ascii="宋体" w:hAnsi="宋体" w:eastAsia="宋体" w:cs="宋体"/>
                <w:bCs/>
                <w:szCs w:val="21"/>
              </w:rPr>
            </w:pPr>
            <w:r>
              <w:rPr>
                <w:rFonts w:hint="eastAsia" w:ascii="宋体" w:hAnsi="宋体" w:eastAsia="宋体" w:cs="宋体"/>
                <w:color w:val="000000"/>
                <w:kern w:val="0"/>
                <w:szCs w:val="21"/>
                <w:lang w:bidi="ar"/>
              </w:rPr>
              <w:t>合同签订要求</w:t>
            </w:r>
          </w:p>
        </w:tc>
        <w:tc>
          <w:tcPr>
            <w:tcW w:w="3464" w:type="dxa"/>
            <w:vAlign w:val="center"/>
          </w:tcPr>
          <w:p w14:paraId="268AF5BA">
            <w:pPr>
              <w:widowControl/>
              <w:jc w:val="left"/>
              <w:textAlignment w:val="center"/>
              <w:rPr>
                <w:rFonts w:ascii="宋体" w:hAnsi="宋体" w:eastAsia="宋体" w:cs="宋体"/>
                <w:bCs/>
                <w:szCs w:val="21"/>
              </w:rPr>
            </w:pPr>
            <w:r>
              <w:rPr>
                <w:rFonts w:hint="eastAsia" w:ascii="宋体" w:hAnsi="宋体" w:eastAsia="宋体" w:cs="宋体"/>
                <w:color w:val="000000"/>
                <w:kern w:val="0"/>
                <w:szCs w:val="21"/>
                <w:lang w:bidi="ar"/>
              </w:rPr>
              <w:t>发出</w:t>
            </w:r>
            <w:r>
              <w:rPr>
                <w:rFonts w:hint="eastAsia" w:ascii="宋体" w:hAnsi="宋体" w:eastAsia="宋体" w:cs="宋体"/>
                <w:color w:val="000000"/>
                <w:kern w:val="0"/>
                <w:szCs w:val="21"/>
                <w:lang w:val="en-US" w:eastAsia="zh-CN" w:bidi="ar"/>
              </w:rPr>
              <w:t>中标</w:t>
            </w:r>
            <w:r>
              <w:rPr>
                <w:rFonts w:hint="eastAsia" w:ascii="宋体" w:hAnsi="宋体" w:eastAsia="宋体" w:cs="宋体"/>
                <w:color w:val="000000"/>
                <w:kern w:val="0"/>
                <w:szCs w:val="21"/>
                <w:lang w:bidi="ar"/>
              </w:rPr>
              <w:t>通知书之日起30日内完成合同签订。</w:t>
            </w:r>
          </w:p>
        </w:tc>
        <w:tc>
          <w:tcPr>
            <w:tcW w:w="1429" w:type="dxa"/>
            <w:vAlign w:val="center"/>
          </w:tcPr>
          <w:p w14:paraId="4527DE50">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503158C4">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r w14:paraId="4092A0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4" w:hRule="atLeast"/>
        </w:trPr>
        <w:tc>
          <w:tcPr>
            <w:tcW w:w="685" w:type="dxa"/>
            <w:vAlign w:val="center"/>
          </w:tcPr>
          <w:p w14:paraId="65DE02F2">
            <w:pPr>
              <w:spacing w:line="360" w:lineRule="exact"/>
              <w:jc w:val="center"/>
              <w:rPr>
                <w:rFonts w:hint="default" w:ascii="宋体" w:hAnsi="宋体" w:cs="宋体"/>
                <w:bCs/>
                <w:szCs w:val="21"/>
                <w:lang w:val="en-US" w:eastAsia="zh-CN"/>
              </w:rPr>
            </w:pPr>
            <w:r>
              <w:rPr>
                <w:rFonts w:hint="eastAsia" w:ascii="宋体" w:hAnsi="宋体" w:cs="宋体"/>
                <w:bCs/>
                <w:szCs w:val="21"/>
                <w:lang w:val="en-US" w:eastAsia="zh-CN"/>
              </w:rPr>
              <w:t>7</w:t>
            </w:r>
          </w:p>
        </w:tc>
        <w:tc>
          <w:tcPr>
            <w:tcW w:w="1823" w:type="dxa"/>
            <w:vAlign w:val="center"/>
          </w:tcPr>
          <w:p w14:paraId="55DFB3EC">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★项目工期</w:t>
            </w:r>
          </w:p>
        </w:tc>
        <w:tc>
          <w:tcPr>
            <w:tcW w:w="3464" w:type="dxa"/>
            <w:vAlign w:val="center"/>
          </w:tcPr>
          <w:p w14:paraId="792D44D4">
            <w:pPr>
              <w:widowControl/>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合同签订起90天（日历天）内完成项目交付。</w:t>
            </w:r>
          </w:p>
        </w:tc>
        <w:tc>
          <w:tcPr>
            <w:tcW w:w="1429" w:type="dxa"/>
            <w:vAlign w:val="center"/>
          </w:tcPr>
          <w:p w14:paraId="62E88089">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c>
          <w:tcPr>
            <w:tcW w:w="1037" w:type="dxa"/>
            <w:vAlign w:val="center"/>
          </w:tcPr>
          <w:p w14:paraId="134F0579">
            <w:pPr>
              <w:adjustRightInd w:val="0"/>
              <w:snapToGrid w:val="0"/>
              <w:spacing w:line="440" w:lineRule="exact"/>
              <w:rPr>
                <w:rFonts w:ascii="宋体" w:hAnsi="宋体" w:eastAsia="宋体" w:cs="宋体"/>
                <w:color w:val="000000" w:themeColor="text1"/>
                <w:szCs w:val="21"/>
                <w14:textFill>
                  <w14:solidFill>
                    <w14:schemeClr w14:val="tx1"/>
                  </w14:solidFill>
                </w14:textFill>
              </w:rPr>
            </w:pPr>
          </w:p>
        </w:tc>
      </w:tr>
    </w:tbl>
    <w:p w14:paraId="079B7451">
      <w:pPr>
        <w:adjustRightInd w:val="0"/>
        <w:snapToGrid w:val="0"/>
        <w:spacing w:after="120" w:line="440" w:lineRule="exact"/>
        <w:ind w:left="693" w:hanging="693" w:hangingChars="330"/>
        <w:rPr>
          <w:rFonts w:ascii="宋体" w:hAnsi="宋体" w:eastAsia="宋体" w:cs="宋体"/>
          <w:color w:val="000000" w:themeColor="text1"/>
          <w:szCs w:val="21"/>
          <w14:textFill>
            <w14:solidFill>
              <w14:schemeClr w14:val="tx1"/>
            </w14:solidFill>
          </w14:textFill>
        </w:rPr>
      </w:pPr>
    </w:p>
    <w:p w14:paraId="11F2FF3A">
      <w:pPr>
        <w:spacing w:line="440" w:lineRule="exact"/>
        <w:ind w:firstLine="1274" w:firstLineChars="607"/>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Times New Roman"/>
          <w:color w:val="000000" w:themeColor="text1"/>
          <w:szCs w:val="21"/>
          <w:lang w:val="en-US" w:eastAsia="zh-CN"/>
          <w14:textFill>
            <w14:solidFill>
              <w14:schemeClr w14:val="tx1"/>
            </w14:solidFill>
          </w14:textFill>
        </w:rPr>
        <w:t>响应</w:t>
      </w:r>
      <w:r>
        <w:rPr>
          <w:rFonts w:hint="eastAsia" w:ascii="宋体" w:hAnsi="宋体" w:eastAsia="宋体" w:cs="Times New Roman"/>
          <w:color w:val="000000" w:themeColor="text1"/>
          <w:szCs w:val="21"/>
          <w14:textFill>
            <w14:solidFill>
              <w14:schemeClr w14:val="tx1"/>
            </w14:solidFill>
          </w14:textFill>
        </w:rPr>
        <w:t>人名称：</w:t>
      </w:r>
      <w:r>
        <w:rPr>
          <w:rFonts w:hint="eastAsia" w:ascii="宋体" w:hAnsi="宋体" w:eastAsia="宋体" w:cs="Times New Roman"/>
          <w:color w:val="000000" w:themeColor="text1"/>
          <w:szCs w:val="21"/>
          <w:u w:val="single"/>
          <w14:textFill>
            <w14:solidFill>
              <w14:schemeClr w14:val="tx1"/>
            </w14:solidFill>
          </w14:textFill>
        </w:rPr>
        <w:t xml:space="preserve">　　　　　　　　                 </w:t>
      </w:r>
    </w:p>
    <w:p w14:paraId="1825A745">
      <w:pPr>
        <w:spacing w:line="440" w:lineRule="exact"/>
        <w:ind w:firstLine="1274" w:firstLineChars="607"/>
        <w:jc w:val="left"/>
        <w:rPr>
          <w:rFonts w:ascii="宋体" w:hAnsi="宋体" w:eastAsia="宋体" w:cs="Times New Roman"/>
          <w:color w:val="000000" w:themeColor="text1"/>
          <w:szCs w:val="2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p>
    <w:p w14:paraId="3408BB71">
      <w:pPr>
        <w:adjustRightInd w:val="0"/>
        <w:snapToGrid w:val="0"/>
        <w:spacing w:line="440" w:lineRule="exact"/>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编制要求</w:t>
      </w:r>
      <w:r>
        <w:rPr>
          <w:rFonts w:hint="eastAsia" w:ascii="宋体" w:hAnsi="宋体" w:eastAsia="宋体" w:cs="宋体"/>
          <w:color w:val="000000" w:themeColor="text1"/>
          <w:szCs w:val="21"/>
          <w14:textFill>
            <w14:solidFill>
              <w14:schemeClr w14:val="tx1"/>
            </w14:solidFill>
          </w14:textFill>
        </w:rPr>
        <w:t>：</w:t>
      </w:r>
    </w:p>
    <w:p w14:paraId="6E1E8954">
      <w:pPr>
        <w:widowControl w:val="0"/>
        <w:adjustRightInd w:val="0"/>
        <w:snapToGrid w:val="0"/>
        <w:spacing w:line="440" w:lineRule="exact"/>
        <w:ind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1</w:t>
      </w:r>
      <w:r>
        <w:rPr>
          <w:rFonts w:ascii="宋体" w:hAnsi="宋体"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如对商务条款无任何偏离，响应人仅需在本偏离表中填写“无偏离”即可。当本表为空时，视为响应文件对商务条款全部满足，无偏离。</w:t>
      </w:r>
    </w:p>
    <w:p w14:paraId="3A78EDA0">
      <w:pPr>
        <w:widowControl w:val="0"/>
        <w:adjustRightInd w:val="0"/>
        <w:snapToGrid w:val="0"/>
        <w:spacing w:line="440" w:lineRule="exact"/>
        <w:ind w:firstLine="0" w:firstLineChars="0"/>
        <w:jc w:val="both"/>
        <w:rPr>
          <w:rFonts w:ascii="宋体" w:hAnsi="宋体" w:eastAsia="宋体" w:cs="Times New Roman"/>
          <w:color w:val="000000" w:themeColor="text1"/>
          <w:kern w:val="2"/>
          <w:sz w:val="21"/>
          <w:szCs w:val="24"/>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2</w:t>
      </w:r>
      <w:r>
        <w:rPr>
          <w:rFonts w:ascii="宋体" w:hAnsi="宋体" w:eastAsia="宋体" w:cs="Times New Roman"/>
          <w:color w:val="000000" w:themeColor="text1"/>
          <w:kern w:val="2"/>
          <w:sz w:val="21"/>
          <w:szCs w:val="24"/>
          <w:lang w:val="en-US" w:eastAsia="zh-CN" w:bidi="ar-SA"/>
          <w14:textFill>
            <w14:solidFill>
              <w14:schemeClr w14:val="tx1"/>
            </w14:solidFill>
          </w14:textFill>
        </w:rPr>
        <w:t>.</w:t>
      </w:r>
      <w:r>
        <w:rPr>
          <w:rFonts w:hint="eastAsia" w:ascii="宋体" w:hAnsi="宋体" w:eastAsia="宋体" w:cs="Times New Roman"/>
          <w:color w:val="000000" w:themeColor="text1"/>
          <w:kern w:val="2"/>
          <w:sz w:val="21"/>
          <w:szCs w:val="24"/>
          <w:lang w:val="en-US" w:eastAsia="zh-CN" w:bidi="ar-SA"/>
          <w14:textFill>
            <w14:solidFill>
              <w14:schemeClr w14:val="tx1"/>
            </w14:solidFill>
          </w14:textFill>
        </w:rPr>
        <w:t>如对商务条款存在偏离，响应人需对商务条款存在的偏离逐条做出说明。</w:t>
      </w:r>
    </w:p>
    <w:p w14:paraId="43DDCF99">
      <w:pPr>
        <w:adjustRightInd w:val="0"/>
        <w:snapToGrid w:val="0"/>
        <w:spacing w:line="440" w:lineRule="exact"/>
        <w:rPr>
          <w:rFonts w:ascii="宋体" w:hAnsi="宋体" w:eastAsia="宋体" w:cs="Times New Roman"/>
          <w:color w:val="000000" w:themeColor="text1"/>
          <w14:textFill>
            <w14:solidFill>
              <w14:schemeClr w14:val="tx1"/>
            </w14:solidFill>
          </w14:textFill>
        </w:rPr>
      </w:pPr>
      <w:r>
        <w:rPr>
          <w:rFonts w:hint="eastAsia" w:ascii="宋体" w:hAnsi="宋体" w:eastAsia="宋体" w:cs="Times New Roman"/>
          <w:color w:val="000000" w:themeColor="text1"/>
          <w14:textFill>
            <w14:solidFill>
              <w14:schemeClr w14:val="tx1"/>
            </w14:solidFill>
          </w14:textFill>
        </w:rPr>
        <w:t>3</w:t>
      </w:r>
      <w:r>
        <w:rPr>
          <w:rFonts w:ascii="宋体" w:hAnsi="宋体" w:eastAsia="宋体" w:cs="Times New Roman"/>
          <w:color w:val="000000" w:themeColor="text1"/>
          <w14:textFill>
            <w14:solidFill>
              <w14:schemeClr w14:val="tx1"/>
            </w14:solidFill>
          </w14:textFill>
        </w:rPr>
        <w:t>.</w:t>
      </w:r>
      <w:r>
        <w:rPr>
          <w:rFonts w:hint="eastAsia" w:ascii="宋体" w:hAnsi="宋体" w:eastAsia="宋体" w:cs="Times New Roman"/>
          <w:color w:val="000000" w:themeColor="text1"/>
          <w:lang w:val="en-US" w:eastAsia="zh-CN"/>
          <w14:textFill>
            <w14:solidFill>
              <w14:schemeClr w14:val="tx1"/>
            </w14:solidFill>
          </w14:textFill>
        </w:rPr>
        <w:t>响应</w:t>
      </w:r>
      <w:r>
        <w:rPr>
          <w:rFonts w:hint="eastAsia" w:ascii="宋体" w:hAnsi="宋体" w:eastAsia="宋体" w:cs="Times New Roman"/>
          <w:color w:val="000000" w:themeColor="text1"/>
          <w14:textFill>
            <w14:solidFill>
              <w14:schemeClr w14:val="tx1"/>
            </w14:solidFill>
          </w14:textFill>
        </w:rPr>
        <w:t>人可以根据实际情况对本文件进行调整和修改，但应满足</w:t>
      </w:r>
      <w:r>
        <w:rPr>
          <w:rFonts w:hint="eastAsia" w:ascii="宋体" w:hAnsi="宋体" w:eastAsia="宋体" w:cs="Times New Roman"/>
          <w:color w:val="000000" w:themeColor="text1"/>
          <w:lang w:val="en-US" w:eastAsia="zh-CN"/>
          <w14:textFill>
            <w14:solidFill>
              <w14:schemeClr w14:val="tx1"/>
            </w14:solidFill>
          </w14:textFill>
        </w:rPr>
        <w:t>询比</w:t>
      </w:r>
      <w:r>
        <w:rPr>
          <w:rFonts w:hint="eastAsia" w:ascii="宋体" w:hAnsi="宋体" w:eastAsia="宋体" w:cs="Times New Roman"/>
          <w:color w:val="000000" w:themeColor="text1"/>
          <w14:textFill>
            <w14:solidFill>
              <w14:schemeClr w14:val="tx1"/>
            </w14:solidFill>
          </w14:textFill>
        </w:rPr>
        <w:t>文件对本文件的要求。</w:t>
      </w:r>
    </w:p>
    <w:p w14:paraId="67011B74">
      <w:pP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br w:type="page"/>
      </w:r>
    </w:p>
    <w:p w14:paraId="4C7DA520">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Chars="0"/>
        <w:jc w:val="left"/>
        <w:textAlignment w:val="auto"/>
        <w:outlineLvl w:val="1"/>
        <w:rPr>
          <w:rFonts w:hint="eastAsia" w:asciiTheme="minorEastAsia" w:hAnsiTheme="minorEastAsia" w:eastAsiaTheme="minorEastAsia"/>
          <w:sz w:val="24"/>
          <w:szCs w:val="24"/>
          <w:highlight w:val="none"/>
        </w:rPr>
      </w:pPr>
      <w:bookmarkStart w:id="1859" w:name="_Toc13100"/>
      <w:bookmarkStart w:id="1860" w:name="_Toc13372"/>
      <w:r>
        <w:rPr>
          <w:rFonts w:hint="eastAsia" w:asciiTheme="minorEastAsia" w:hAnsiTheme="minorEastAsia" w:eastAsiaTheme="minorEastAsia"/>
          <w:sz w:val="24"/>
          <w:szCs w:val="24"/>
          <w:highlight w:val="none"/>
          <w:lang w:val="en-US" w:eastAsia="zh-CN"/>
        </w:rPr>
        <w:t>16.合同条款偏离表</w:t>
      </w:r>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p>
    <w:p w14:paraId="367735B0">
      <w:pPr>
        <w:bidi w:val="0"/>
        <w:rPr>
          <w:rFonts w:hint="default"/>
          <w:lang w:val="en-US" w:eastAsia="zh-CN"/>
        </w:rPr>
      </w:pPr>
    </w:p>
    <w:p w14:paraId="24A181BE">
      <w:pPr>
        <w:widowControl w:val="0"/>
        <w:ind w:firstLine="0" w:firstLineChars="0"/>
        <w:jc w:val="center"/>
        <w:rPr>
          <w:rFonts w:cs="Times New Roman" w:asciiTheme="minorEastAsia" w:hAnsiTheme="minorEastAsia" w:eastAsiaTheme="minorEastAsia"/>
          <w:b/>
          <w:kern w:val="2"/>
          <w:sz w:val="24"/>
          <w:szCs w:val="24"/>
          <w:highlight w:val="none"/>
          <w:lang w:val="en-US" w:eastAsia="zh-CN" w:bidi="ar-SA"/>
        </w:rPr>
      </w:pPr>
      <w:r>
        <w:rPr>
          <w:rFonts w:hint="eastAsia" w:cs="Times New Roman" w:asciiTheme="minorEastAsia" w:hAnsiTheme="minorEastAsia" w:eastAsiaTheme="minorEastAsia"/>
          <w:b/>
          <w:kern w:val="2"/>
          <w:sz w:val="24"/>
          <w:szCs w:val="24"/>
          <w:highlight w:val="none"/>
          <w:lang w:val="en-US" w:eastAsia="zh-CN" w:bidi="ar-SA"/>
        </w:rPr>
        <w:t>合同条款偏离表</w:t>
      </w:r>
    </w:p>
    <w:p w14:paraId="27A3284C">
      <w:pPr>
        <w:jc w:val="center"/>
        <w:rPr>
          <w:rFonts w:cs="宋体" w:asciiTheme="minorEastAsia" w:hAnsiTheme="minorEastAsia" w:eastAsiaTheme="minorEastAsia"/>
          <w:sz w:val="24"/>
          <w:highlight w:val="none"/>
        </w:rPr>
      </w:pPr>
    </w:p>
    <w:p w14:paraId="54D2E9C9">
      <w:pPr>
        <w:jc w:val="center"/>
        <w:rPr>
          <w:rFonts w:cs="宋体" w:asciiTheme="minorEastAsia" w:hAnsiTheme="minorEastAsia" w:eastAsiaTheme="minorEastAsia"/>
          <w:sz w:val="24"/>
          <w:highlight w:val="none"/>
        </w:rPr>
      </w:pPr>
    </w:p>
    <w:p w14:paraId="74A5DA59">
      <w:pPr>
        <w:adjustRightInd w:val="0"/>
        <w:snapToGrid w:val="0"/>
        <w:spacing w:after="120"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r>
        <w:rPr>
          <w:rFonts w:cs="宋体" w:asciiTheme="minorEastAsia" w:hAnsiTheme="minorEastAsia" w:eastAsiaTheme="minorEastAsia"/>
          <w:szCs w:val="21"/>
          <w:highlight w:val="none"/>
        </w:rPr>
        <w:t>名称：</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lang w:eastAsia="zh-CN"/>
        </w:rPr>
        <w:t>项目编号</w:t>
      </w:r>
      <w:r>
        <w:rPr>
          <w:rFonts w:cs="宋体" w:asciiTheme="minorEastAsia" w:hAnsiTheme="minorEastAsia" w:eastAsiaTheme="minorEastAsia"/>
          <w:szCs w:val="21"/>
          <w:highlight w:val="none"/>
        </w:rPr>
        <w:t>：</w:t>
      </w:r>
      <w:r>
        <w:rPr>
          <w:rFonts w:cs="宋体" w:asciiTheme="minorEastAsia" w:hAnsiTheme="minorEastAsia" w:eastAsiaTheme="minorEastAsia"/>
          <w:szCs w:val="21"/>
          <w:highlight w:val="none"/>
          <w:u w:val="single"/>
        </w:rPr>
        <w:t xml:space="preserve">                </w:t>
      </w:r>
      <w:r>
        <w:rPr>
          <w:rFonts w:hint="eastAsia" w:cs="宋体" w:asciiTheme="minorEastAsia" w:hAnsiTheme="minorEastAsia" w:eastAsiaTheme="minorEastAsia"/>
          <w:szCs w:val="21"/>
          <w:highlight w:val="none"/>
          <w:lang w:eastAsia="zh-CN"/>
        </w:rPr>
        <w:t>标包</w:t>
      </w:r>
      <w:r>
        <w:rPr>
          <w:rFonts w:cs="宋体" w:asciiTheme="minorEastAsia" w:hAnsiTheme="minorEastAsia" w:eastAsiaTheme="minorEastAsia"/>
          <w:szCs w:val="21"/>
          <w:highlight w:val="none"/>
        </w:rPr>
        <w:t>：</w:t>
      </w:r>
      <w:r>
        <w:rPr>
          <w:rFonts w:cs="宋体" w:asciiTheme="minorEastAsia" w:hAnsiTheme="minorEastAsia" w:eastAsiaTheme="minorEastAsia"/>
          <w:szCs w:val="21"/>
          <w:highlight w:val="none"/>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02160F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4DC8B7BA">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序号</w:t>
            </w:r>
          </w:p>
        </w:tc>
        <w:tc>
          <w:tcPr>
            <w:tcW w:w="1746" w:type="dxa"/>
            <w:vAlign w:val="center"/>
          </w:tcPr>
          <w:p w14:paraId="4755C3C7">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询比文件</w:t>
            </w:r>
            <w:r>
              <w:rPr>
                <w:rFonts w:cs="宋体" w:asciiTheme="minorEastAsia" w:hAnsiTheme="minorEastAsia" w:eastAsiaTheme="minorEastAsia"/>
                <w:szCs w:val="21"/>
                <w:highlight w:val="none"/>
              </w:rPr>
              <w:t>条目号</w:t>
            </w:r>
          </w:p>
        </w:tc>
        <w:tc>
          <w:tcPr>
            <w:tcW w:w="2208" w:type="dxa"/>
            <w:vAlign w:val="center"/>
          </w:tcPr>
          <w:p w14:paraId="70AACA8F">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询比文件</w:t>
            </w:r>
            <w:r>
              <w:rPr>
                <w:rFonts w:cs="宋体" w:asciiTheme="minorEastAsia" w:hAnsiTheme="minorEastAsia" w:eastAsiaTheme="minorEastAsia"/>
                <w:szCs w:val="21"/>
                <w:highlight w:val="none"/>
              </w:rPr>
              <w:t>的</w:t>
            </w:r>
            <w:r>
              <w:rPr>
                <w:rFonts w:hint="eastAsia" w:cs="宋体" w:asciiTheme="minorEastAsia" w:hAnsiTheme="minorEastAsia" w:eastAsiaTheme="minorEastAsia"/>
                <w:szCs w:val="21"/>
                <w:highlight w:val="none"/>
              </w:rPr>
              <w:t>合同</w:t>
            </w:r>
            <w:r>
              <w:rPr>
                <w:rFonts w:cs="宋体" w:asciiTheme="minorEastAsia" w:hAnsiTheme="minorEastAsia" w:eastAsiaTheme="minorEastAsia"/>
                <w:szCs w:val="21"/>
                <w:highlight w:val="none"/>
              </w:rPr>
              <w:t>条款</w:t>
            </w:r>
          </w:p>
        </w:tc>
        <w:tc>
          <w:tcPr>
            <w:tcW w:w="2435" w:type="dxa"/>
            <w:vAlign w:val="center"/>
          </w:tcPr>
          <w:p w14:paraId="06A03B6C">
            <w:pPr>
              <w:adjustRightInd w:val="0"/>
              <w:snapToGrid w:val="0"/>
              <w:spacing w:line="44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lang w:eastAsia="zh-CN"/>
              </w:rPr>
              <w:t>响应文件</w:t>
            </w:r>
            <w:r>
              <w:rPr>
                <w:rFonts w:cs="宋体" w:asciiTheme="minorEastAsia" w:hAnsiTheme="minorEastAsia" w:eastAsiaTheme="minorEastAsia"/>
                <w:szCs w:val="21"/>
                <w:highlight w:val="none"/>
              </w:rPr>
              <w:t>偏离情况</w:t>
            </w:r>
          </w:p>
        </w:tc>
        <w:tc>
          <w:tcPr>
            <w:tcW w:w="1364" w:type="dxa"/>
            <w:vAlign w:val="center"/>
          </w:tcPr>
          <w:p w14:paraId="0C887861">
            <w:pPr>
              <w:adjustRightInd w:val="0"/>
              <w:snapToGrid w:val="0"/>
              <w:spacing w:line="44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说明</w:t>
            </w:r>
          </w:p>
        </w:tc>
      </w:tr>
      <w:tr w14:paraId="6C1662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6B13372">
            <w:pPr>
              <w:adjustRightInd w:val="0"/>
              <w:snapToGrid w:val="0"/>
              <w:spacing w:line="440" w:lineRule="exact"/>
              <w:rPr>
                <w:rFonts w:hint="eastAsia" w:cs="宋体" w:asciiTheme="minorEastAsia" w:hAnsiTheme="minorEastAsia" w:eastAsiaTheme="minorEastAsia"/>
                <w:szCs w:val="21"/>
                <w:highlight w:val="none"/>
                <w:lang w:val="en-US" w:eastAsia="zh-CN"/>
              </w:rPr>
            </w:pPr>
          </w:p>
        </w:tc>
        <w:tc>
          <w:tcPr>
            <w:tcW w:w="1746" w:type="dxa"/>
            <w:vAlign w:val="center"/>
          </w:tcPr>
          <w:p w14:paraId="52A72BA0">
            <w:pPr>
              <w:adjustRightInd w:val="0"/>
              <w:snapToGrid w:val="0"/>
              <w:spacing w:line="440" w:lineRule="exact"/>
              <w:rPr>
                <w:rFonts w:hint="eastAsia" w:cs="宋体" w:asciiTheme="minorEastAsia" w:hAnsiTheme="minorEastAsia" w:eastAsiaTheme="minorEastAsia"/>
                <w:szCs w:val="21"/>
                <w:highlight w:val="none"/>
                <w:lang w:val="en-US" w:eastAsia="zh-CN"/>
              </w:rPr>
            </w:pPr>
          </w:p>
        </w:tc>
        <w:tc>
          <w:tcPr>
            <w:tcW w:w="2208" w:type="dxa"/>
            <w:vAlign w:val="center"/>
          </w:tcPr>
          <w:p w14:paraId="38C2910C">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0E10B971">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ABD4A6F">
            <w:pPr>
              <w:adjustRightInd w:val="0"/>
              <w:snapToGrid w:val="0"/>
              <w:spacing w:line="440" w:lineRule="exact"/>
              <w:rPr>
                <w:rFonts w:cs="宋体" w:asciiTheme="minorEastAsia" w:hAnsiTheme="minorEastAsia" w:eastAsiaTheme="minorEastAsia"/>
                <w:szCs w:val="21"/>
                <w:highlight w:val="none"/>
              </w:rPr>
            </w:pPr>
          </w:p>
        </w:tc>
      </w:tr>
      <w:tr w14:paraId="55022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7CA486A0">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4684F803">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453AD15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7539C181">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00284C86">
            <w:pPr>
              <w:adjustRightInd w:val="0"/>
              <w:snapToGrid w:val="0"/>
              <w:spacing w:line="440" w:lineRule="exact"/>
              <w:rPr>
                <w:rFonts w:cs="宋体" w:asciiTheme="minorEastAsia" w:hAnsiTheme="minorEastAsia" w:eastAsiaTheme="minorEastAsia"/>
                <w:szCs w:val="21"/>
                <w:highlight w:val="none"/>
              </w:rPr>
            </w:pPr>
          </w:p>
        </w:tc>
      </w:tr>
      <w:tr w14:paraId="38D96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4A30E32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0AFF98D8">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06A789F1">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5300B1C9">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3E13E543">
            <w:pPr>
              <w:adjustRightInd w:val="0"/>
              <w:snapToGrid w:val="0"/>
              <w:spacing w:line="440" w:lineRule="exact"/>
              <w:rPr>
                <w:rFonts w:cs="宋体" w:asciiTheme="minorEastAsia" w:hAnsiTheme="minorEastAsia" w:eastAsiaTheme="minorEastAsia"/>
                <w:szCs w:val="21"/>
                <w:highlight w:val="none"/>
              </w:rPr>
            </w:pPr>
          </w:p>
        </w:tc>
      </w:tr>
      <w:tr w14:paraId="48236F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2DB06DD5">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4C1E949D">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345A649E">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28103594">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B555EBB">
            <w:pPr>
              <w:adjustRightInd w:val="0"/>
              <w:snapToGrid w:val="0"/>
              <w:spacing w:line="440" w:lineRule="exact"/>
              <w:rPr>
                <w:rFonts w:cs="宋体" w:asciiTheme="minorEastAsia" w:hAnsiTheme="minorEastAsia" w:eastAsiaTheme="minorEastAsia"/>
                <w:szCs w:val="21"/>
                <w:highlight w:val="none"/>
              </w:rPr>
            </w:pPr>
          </w:p>
        </w:tc>
      </w:tr>
      <w:tr w14:paraId="1CB651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FDF7AF8">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5FCECBE2">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652FDA8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3427B818">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5333C54A">
            <w:pPr>
              <w:adjustRightInd w:val="0"/>
              <w:snapToGrid w:val="0"/>
              <w:spacing w:line="440" w:lineRule="exact"/>
              <w:rPr>
                <w:rFonts w:cs="宋体" w:asciiTheme="minorEastAsia" w:hAnsiTheme="minorEastAsia" w:eastAsiaTheme="minorEastAsia"/>
                <w:szCs w:val="21"/>
                <w:highlight w:val="none"/>
              </w:rPr>
            </w:pPr>
          </w:p>
        </w:tc>
      </w:tr>
      <w:tr w14:paraId="68DD2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5E147381">
            <w:pPr>
              <w:adjustRightInd w:val="0"/>
              <w:snapToGrid w:val="0"/>
              <w:spacing w:line="440" w:lineRule="exact"/>
              <w:rPr>
                <w:rFonts w:cs="宋体" w:asciiTheme="minorEastAsia" w:hAnsiTheme="minorEastAsia" w:eastAsiaTheme="minorEastAsia"/>
                <w:szCs w:val="21"/>
                <w:highlight w:val="none"/>
              </w:rPr>
            </w:pPr>
          </w:p>
        </w:tc>
        <w:tc>
          <w:tcPr>
            <w:tcW w:w="1746" w:type="dxa"/>
            <w:vAlign w:val="center"/>
          </w:tcPr>
          <w:p w14:paraId="257A0620">
            <w:pPr>
              <w:adjustRightInd w:val="0"/>
              <w:snapToGrid w:val="0"/>
              <w:spacing w:line="440" w:lineRule="exact"/>
              <w:rPr>
                <w:rFonts w:cs="宋体" w:asciiTheme="minorEastAsia" w:hAnsiTheme="minorEastAsia" w:eastAsiaTheme="minorEastAsia"/>
                <w:szCs w:val="21"/>
                <w:highlight w:val="none"/>
              </w:rPr>
            </w:pPr>
          </w:p>
        </w:tc>
        <w:tc>
          <w:tcPr>
            <w:tcW w:w="2208" w:type="dxa"/>
            <w:vAlign w:val="center"/>
          </w:tcPr>
          <w:p w14:paraId="6E5BBE06">
            <w:pPr>
              <w:adjustRightInd w:val="0"/>
              <w:snapToGrid w:val="0"/>
              <w:spacing w:line="440" w:lineRule="exact"/>
              <w:rPr>
                <w:rFonts w:cs="宋体" w:asciiTheme="minorEastAsia" w:hAnsiTheme="minorEastAsia" w:eastAsiaTheme="minorEastAsia"/>
                <w:szCs w:val="21"/>
                <w:highlight w:val="none"/>
              </w:rPr>
            </w:pPr>
          </w:p>
        </w:tc>
        <w:tc>
          <w:tcPr>
            <w:tcW w:w="2435" w:type="dxa"/>
            <w:vAlign w:val="center"/>
          </w:tcPr>
          <w:p w14:paraId="40CF6244">
            <w:pPr>
              <w:adjustRightInd w:val="0"/>
              <w:snapToGrid w:val="0"/>
              <w:spacing w:line="440" w:lineRule="exact"/>
              <w:rPr>
                <w:rFonts w:cs="宋体" w:asciiTheme="minorEastAsia" w:hAnsiTheme="minorEastAsia" w:eastAsiaTheme="minorEastAsia"/>
                <w:szCs w:val="21"/>
                <w:highlight w:val="none"/>
              </w:rPr>
            </w:pPr>
          </w:p>
        </w:tc>
        <w:tc>
          <w:tcPr>
            <w:tcW w:w="1364" w:type="dxa"/>
            <w:vAlign w:val="center"/>
          </w:tcPr>
          <w:p w14:paraId="22731598">
            <w:pPr>
              <w:adjustRightInd w:val="0"/>
              <w:snapToGrid w:val="0"/>
              <w:spacing w:line="440" w:lineRule="exact"/>
              <w:rPr>
                <w:rFonts w:cs="宋体" w:asciiTheme="minorEastAsia" w:hAnsiTheme="minorEastAsia" w:eastAsiaTheme="minorEastAsia"/>
                <w:szCs w:val="21"/>
                <w:highlight w:val="none"/>
              </w:rPr>
            </w:pPr>
          </w:p>
        </w:tc>
      </w:tr>
    </w:tbl>
    <w:p w14:paraId="4932E17C">
      <w:pPr>
        <w:adjustRightInd w:val="0"/>
        <w:snapToGrid w:val="0"/>
        <w:spacing w:after="120" w:line="440" w:lineRule="exact"/>
        <w:ind w:left="693" w:hanging="693" w:hangingChars="330"/>
        <w:rPr>
          <w:rFonts w:cs="宋体" w:asciiTheme="minorEastAsia" w:hAnsiTheme="minorEastAsia" w:eastAsiaTheme="minorEastAsia"/>
          <w:szCs w:val="21"/>
          <w:highlight w:val="none"/>
        </w:rPr>
      </w:pPr>
    </w:p>
    <w:p w14:paraId="4762A9BD">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70CE4133">
      <w:pPr>
        <w:spacing w:line="440" w:lineRule="exact"/>
        <w:ind w:firstLine="1274" w:firstLineChars="607"/>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3487F6EA">
      <w:pPr>
        <w:widowControl/>
        <w:jc w:val="left"/>
        <w:rPr>
          <w:rFonts w:asciiTheme="minorEastAsia" w:hAnsiTheme="minorEastAsia" w:eastAsiaTheme="minorEastAsia"/>
          <w:highlight w:val="none"/>
        </w:rPr>
      </w:pPr>
    </w:p>
    <w:p w14:paraId="2D1AAC1D">
      <w:pPr>
        <w:adjustRightInd w:val="0"/>
        <w:snapToGrid w:val="0"/>
        <w:spacing w:line="440" w:lineRule="exact"/>
        <w:rPr>
          <w:rFonts w:cs="宋体" w:asciiTheme="minorEastAsia" w:hAnsiTheme="minorEastAsia" w:eastAsiaTheme="minorEastAsia"/>
          <w:szCs w:val="21"/>
          <w:highlight w:val="none"/>
        </w:rPr>
      </w:pPr>
      <w:r>
        <w:rPr>
          <w:rFonts w:hint="eastAsia" w:cs="宋体" w:asciiTheme="minorEastAsia" w:hAnsiTheme="minorEastAsia" w:eastAsiaTheme="minorEastAsia"/>
          <w:b/>
          <w:szCs w:val="21"/>
          <w:highlight w:val="none"/>
        </w:rPr>
        <w:t>编制要求</w:t>
      </w:r>
      <w:r>
        <w:rPr>
          <w:rFonts w:hint="eastAsia" w:cs="宋体" w:asciiTheme="minorEastAsia" w:hAnsiTheme="minorEastAsia" w:eastAsiaTheme="minorEastAsia"/>
          <w:szCs w:val="21"/>
          <w:highlight w:val="none"/>
        </w:rPr>
        <w:t>：</w:t>
      </w:r>
    </w:p>
    <w:p w14:paraId="0C525BD6">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1.如对商务规范书条款无任何偏离，</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仅需在本偏离表中填写“无偏离”即可。当本表为空时，视为</w:t>
      </w:r>
      <w:r>
        <w:rPr>
          <w:rFonts w:hint="eastAsia" w:asciiTheme="minorEastAsia" w:hAnsiTheme="minorEastAsia" w:eastAsiaTheme="minorEastAsia"/>
          <w:highlight w:val="none"/>
          <w:lang w:eastAsia="zh-CN"/>
        </w:rPr>
        <w:t>响应文件</w:t>
      </w:r>
      <w:r>
        <w:rPr>
          <w:rFonts w:hint="eastAsia" w:asciiTheme="minorEastAsia" w:hAnsiTheme="minorEastAsia" w:eastAsiaTheme="minorEastAsia"/>
          <w:highlight w:val="none"/>
        </w:rPr>
        <w:t>对商务规范书条款全部满足，无偏离；</w:t>
      </w:r>
    </w:p>
    <w:p w14:paraId="11261320">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asciiTheme="minorEastAsia" w:hAnsiTheme="minorEastAsia" w:eastAsiaTheme="minorEastAsia"/>
          <w:highlight w:val="none"/>
        </w:rPr>
        <w:t>2. 如对商务规范书条款存在偏离，</w:t>
      </w: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需对商务规范书条款存在的偏离逐条做出说明。</w:t>
      </w:r>
    </w:p>
    <w:p w14:paraId="37D20EBF">
      <w:pPr>
        <w:pStyle w:val="48"/>
        <w:adjustRightInd w:val="0"/>
        <w:snapToGrid w:val="0"/>
        <w:spacing w:line="440" w:lineRule="exact"/>
        <w:ind w:firstLine="0" w:firstLineChars="0"/>
        <w:rPr>
          <w:rFonts w:asciiTheme="minorEastAsia" w:hAnsiTheme="minorEastAsia" w:eastAsiaTheme="minorEastAsia"/>
          <w:highlight w:val="none"/>
        </w:rPr>
      </w:pPr>
      <w:r>
        <w:rPr>
          <w:rFonts w:hint="eastAsia"/>
          <w:highlight w:val="none"/>
        </w:rPr>
        <w:t xml:space="preserve">3. </w:t>
      </w:r>
      <w:r>
        <w:rPr>
          <w:rFonts w:hint="eastAsia"/>
          <w:highlight w:val="none"/>
          <w:lang w:eastAsia="zh-CN"/>
        </w:rPr>
        <w:t>供应商</w:t>
      </w:r>
      <w:r>
        <w:rPr>
          <w:rFonts w:hint="eastAsia"/>
          <w:highlight w:val="none"/>
        </w:rPr>
        <w:t>可以根据实际情况对本文件进行调整和修改，但应满足</w:t>
      </w:r>
      <w:r>
        <w:rPr>
          <w:rFonts w:hint="eastAsia"/>
          <w:highlight w:val="none"/>
          <w:lang w:eastAsia="zh-CN"/>
        </w:rPr>
        <w:t>询比文件</w:t>
      </w:r>
      <w:r>
        <w:rPr>
          <w:rFonts w:hint="eastAsia"/>
          <w:highlight w:val="none"/>
        </w:rPr>
        <w:t>对本文件的要求。</w:t>
      </w:r>
    </w:p>
    <w:p w14:paraId="539866FA">
      <w:pPr>
        <w:pStyle w:val="48"/>
        <w:adjustRightInd w:val="0"/>
        <w:snapToGrid w:val="0"/>
        <w:spacing w:line="440" w:lineRule="exact"/>
        <w:ind w:firstLine="0" w:firstLineChars="0"/>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1C97BED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1861" w:name="_Toc477190642"/>
      <w:bookmarkEnd w:id="1861"/>
      <w:bookmarkStart w:id="1862" w:name="_Toc477190507"/>
      <w:bookmarkEnd w:id="1862"/>
      <w:bookmarkStart w:id="1863" w:name="_Toc477190654"/>
      <w:bookmarkEnd w:id="1863"/>
      <w:bookmarkStart w:id="1864" w:name="_Toc477190426"/>
      <w:bookmarkEnd w:id="1864"/>
      <w:bookmarkStart w:id="1865" w:name="_Toc477190593"/>
      <w:bookmarkEnd w:id="1865"/>
      <w:bookmarkStart w:id="1866" w:name="_Toc477190463"/>
      <w:bookmarkEnd w:id="1866"/>
      <w:bookmarkStart w:id="1867" w:name="_Toc477190651"/>
      <w:bookmarkEnd w:id="1867"/>
      <w:bookmarkStart w:id="1868" w:name="_Toc477190470"/>
      <w:bookmarkEnd w:id="1868"/>
      <w:bookmarkStart w:id="1869" w:name="_Toc477190469"/>
      <w:bookmarkEnd w:id="1869"/>
      <w:bookmarkStart w:id="1870" w:name="_Toc477190414"/>
      <w:bookmarkEnd w:id="1870"/>
      <w:bookmarkStart w:id="1871" w:name="_Toc477190537"/>
      <w:bookmarkEnd w:id="1871"/>
      <w:bookmarkStart w:id="1872" w:name="_Toc477190601"/>
      <w:bookmarkEnd w:id="1872"/>
      <w:bookmarkStart w:id="1873" w:name="_Toc477190509"/>
      <w:bookmarkEnd w:id="1873"/>
      <w:bookmarkStart w:id="1874" w:name="_Toc477190569"/>
      <w:bookmarkEnd w:id="1874"/>
      <w:bookmarkStart w:id="1875" w:name="_Toc477190433"/>
      <w:bookmarkEnd w:id="1875"/>
      <w:bookmarkStart w:id="1876" w:name="_Toc477190447"/>
      <w:bookmarkEnd w:id="1876"/>
      <w:bookmarkStart w:id="1877" w:name="_Toc477190511"/>
      <w:bookmarkEnd w:id="1877"/>
      <w:bookmarkStart w:id="1878" w:name="_Toc477190578"/>
      <w:bookmarkEnd w:id="1878"/>
      <w:bookmarkStart w:id="1879" w:name="_Toc477190592"/>
      <w:bookmarkEnd w:id="1879"/>
      <w:bookmarkStart w:id="1880" w:name="_Toc477190649"/>
      <w:bookmarkEnd w:id="1880"/>
      <w:bookmarkStart w:id="1881" w:name="_Toc477190594"/>
      <w:bookmarkEnd w:id="1881"/>
      <w:bookmarkStart w:id="1882" w:name="_Toc477190516"/>
      <w:bookmarkEnd w:id="1882"/>
      <w:bookmarkStart w:id="1883" w:name="_Toc477190650"/>
      <w:bookmarkEnd w:id="1883"/>
      <w:bookmarkStart w:id="1884" w:name="_Toc477190575"/>
      <w:bookmarkEnd w:id="1884"/>
      <w:bookmarkStart w:id="1885" w:name="_Toc477190525"/>
      <w:bookmarkEnd w:id="1885"/>
      <w:bookmarkStart w:id="1886" w:name="_Toc477190572"/>
      <w:bookmarkEnd w:id="1886"/>
      <w:bookmarkStart w:id="1887" w:name="_Toc477190422"/>
      <w:bookmarkEnd w:id="1887"/>
      <w:bookmarkStart w:id="1888" w:name="_Toc477190367"/>
      <w:bookmarkEnd w:id="1888"/>
      <w:bookmarkStart w:id="1889" w:name="_Toc477190434"/>
      <w:bookmarkEnd w:id="1889"/>
      <w:bookmarkStart w:id="1890" w:name="_Toc477190428"/>
      <w:bookmarkEnd w:id="1890"/>
      <w:bookmarkStart w:id="1891" w:name="_Toc477190465"/>
      <w:bookmarkEnd w:id="1891"/>
      <w:bookmarkStart w:id="1892" w:name="_Toc477190430"/>
      <w:bookmarkEnd w:id="1892"/>
      <w:bookmarkStart w:id="1893" w:name="_Toc477190366"/>
      <w:bookmarkEnd w:id="1893"/>
      <w:bookmarkStart w:id="1894" w:name="_Toc477190462"/>
      <w:bookmarkEnd w:id="1894"/>
      <w:bookmarkStart w:id="1895" w:name="_Toc477190419"/>
      <w:bookmarkEnd w:id="1895"/>
      <w:bookmarkStart w:id="1896" w:name="_Toc477190449"/>
      <w:bookmarkEnd w:id="1896"/>
      <w:bookmarkStart w:id="1897" w:name="_Toc477190582"/>
      <w:bookmarkEnd w:id="1897"/>
      <w:bookmarkStart w:id="1898" w:name="_Toc477190436"/>
      <w:bookmarkEnd w:id="1898"/>
      <w:bookmarkStart w:id="1899" w:name="_Toc477190450"/>
      <w:bookmarkEnd w:id="1899"/>
      <w:bookmarkStart w:id="1900" w:name="_Toc477190531"/>
      <w:bookmarkEnd w:id="1900"/>
      <w:bookmarkStart w:id="1901" w:name="_Toc477190460"/>
      <w:bookmarkEnd w:id="1901"/>
      <w:bookmarkStart w:id="1902" w:name="_Toc477190455"/>
      <w:bookmarkEnd w:id="1902"/>
      <w:bookmarkStart w:id="1903" w:name="_Toc477190645"/>
      <w:bookmarkEnd w:id="1903"/>
      <w:bookmarkStart w:id="1904" w:name="_Toc477190588"/>
      <w:bookmarkEnd w:id="1904"/>
      <w:bookmarkStart w:id="1905" w:name="_Toc477190517"/>
      <w:bookmarkEnd w:id="1905"/>
      <w:bookmarkStart w:id="1906" w:name="_Toc477190632"/>
      <w:bookmarkEnd w:id="1906"/>
      <w:bookmarkStart w:id="1907" w:name="_Toc477190466"/>
      <w:bookmarkEnd w:id="1907"/>
      <w:bookmarkStart w:id="1908" w:name="_Toc477190458"/>
      <w:bookmarkEnd w:id="1908"/>
      <w:bookmarkStart w:id="1909" w:name="_Toc477190445"/>
      <w:bookmarkEnd w:id="1909"/>
      <w:bookmarkStart w:id="1910" w:name="_Toc477190595"/>
      <w:bookmarkEnd w:id="1910"/>
      <w:bookmarkStart w:id="1911" w:name="_Toc477190471"/>
      <w:bookmarkEnd w:id="1911"/>
      <w:bookmarkStart w:id="1912" w:name="_Toc477190441"/>
      <w:bookmarkEnd w:id="1912"/>
      <w:bookmarkStart w:id="1913" w:name="_Toc477190452"/>
      <w:bookmarkEnd w:id="1913"/>
      <w:bookmarkStart w:id="1914" w:name="_Toc477190518"/>
      <w:bookmarkEnd w:id="1914"/>
      <w:bookmarkStart w:id="1915" w:name="_Toc477190432"/>
      <w:bookmarkEnd w:id="1915"/>
      <w:bookmarkStart w:id="1916" w:name="_Toc477190596"/>
      <w:bookmarkEnd w:id="1916"/>
      <w:bookmarkStart w:id="1917" w:name="_Toc477190365"/>
      <w:bookmarkEnd w:id="1917"/>
      <w:bookmarkStart w:id="1918" w:name="_Toc477190506"/>
      <w:bookmarkEnd w:id="1918"/>
      <w:bookmarkStart w:id="1919" w:name="_Toc477190451"/>
      <w:bookmarkEnd w:id="1919"/>
      <w:bookmarkStart w:id="1920" w:name="_Toc477190508"/>
      <w:bookmarkEnd w:id="1920"/>
      <w:bookmarkStart w:id="1921" w:name="_Toc477190549"/>
      <w:bookmarkEnd w:id="1921"/>
      <w:bookmarkStart w:id="1922" w:name="_Toc477190647"/>
      <w:bookmarkEnd w:id="1922"/>
      <w:bookmarkStart w:id="1923" w:name="_Toc477190443"/>
      <w:bookmarkEnd w:id="1923"/>
      <w:bookmarkStart w:id="1924" w:name="_Toc477190586"/>
      <w:bookmarkEnd w:id="1924"/>
      <w:bookmarkStart w:id="1925" w:name="_Toc477190459"/>
      <w:bookmarkEnd w:id="1925"/>
      <w:bookmarkStart w:id="1926" w:name="_Toc477190652"/>
      <w:bookmarkEnd w:id="1926"/>
      <w:bookmarkStart w:id="1927" w:name="_Toc477190439"/>
      <w:bookmarkEnd w:id="1927"/>
      <w:bookmarkStart w:id="1928" w:name="_Toc477190571"/>
      <w:bookmarkEnd w:id="1928"/>
      <w:bookmarkStart w:id="1929" w:name="_Toc477190438"/>
      <w:bookmarkEnd w:id="1929"/>
      <w:bookmarkStart w:id="1930" w:name="_Toc477190513"/>
      <w:bookmarkEnd w:id="1930"/>
      <w:bookmarkStart w:id="1931" w:name="_Toc477190442"/>
      <w:bookmarkEnd w:id="1931"/>
      <w:bookmarkStart w:id="1932" w:name="_Toc477190457"/>
      <w:bookmarkEnd w:id="1932"/>
      <w:bookmarkStart w:id="1933" w:name="_Toc477190577"/>
      <w:bookmarkEnd w:id="1933"/>
      <w:bookmarkStart w:id="1934" w:name="_Toc477190510"/>
      <w:bookmarkEnd w:id="1934"/>
      <w:bookmarkStart w:id="1935" w:name="_Toc477190587"/>
      <w:bookmarkEnd w:id="1935"/>
      <w:bookmarkStart w:id="1936" w:name="_Toc477190591"/>
      <w:bookmarkEnd w:id="1936"/>
      <w:bookmarkStart w:id="1937" w:name="_Toc477190418"/>
      <w:bookmarkEnd w:id="1937"/>
      <w:bookmarkStart w:id="1938" w:name="_Toc477190417"/>
      <w:bookmarkEnd w:id="1938"/>
      <w:bookmarkStart w:id="1939" w:name="_Toc477190425"/>
      <w:bookmarkEnd w:id="1939"/>
      <w:bookmarkStart w:id="1940" w:name="_Toc477190543"/>
      <w:bookmarkEnd w:id="1940"/>
      <w:bookmarkStart w:id="1941" w:name="_Toc477190474"/>
      <w:bookmarkEnd w:id="1941"/>
      <w:bookmarkStart w:id="1942" w:name="_Toc477190446"/>
      <w:bookmarkEnd w:id="1942"/>
      <w:bookmarkStart w:id="1943" w:name="_Toc477190563"/>
      <w:bookmarkEnd w:id="1943"/>
      <w:bookmarkStart w:id="1944" w:name="_Toc477190512"/>
      <w:bookmarkEnd w:id="1944"/>
      <w:bookmarkStart w:id="1945" w:name="_Toc477190555"/>
      <w:bookmarkEnd w:id="1945"/>
      <w:bookmarkStart w:id="1946" w:name="_Toc477190456"/>
      <w:bookmarkEnd w:id="1946"/>
      <w:bookmarkStart w:id="1947" w:name="_Toc477190574"/>
      <w:bookmarkEnd w:id="1947"/>
      <w:bookmarkStart w:id="1948" w:name="_Toc477190461"/>
      <w:bookmarkEnd w:id="1948"/>
      <w:bookmarkStart w:id="1949" w:name="_Toc477190514"/>
      <w:bookmarkEnd w:id="1949"/>
      <w:bookmarkStart w:id="1950" w:name="_Toc477190420"/>
      <w:bookmarkEnd w:id="1950"/>
      <w:bookmarkStart w:id="1951" w:name="_Toc477190468"/>
      <w:bookmarkEnd w:id="1951"/>
      <w:bookmarkStart w:id="1952" w:name="_Toc477190648"/>
      <w:bookmarkEnd w:id="1952"/>
      <w:bookmarkStart w:id="1953" w:name="_Toc477190597"/>
      <w:bookmarkEnd w:id="1953"/>
      <w:bookmarkStart w:id="1954" w:name="_Toc477190416"/>
      <w:bookmarkEnd w:id="1954"/>
      <w:bookmarkStart w:id="1955" w:name="_Toc477190589"/>
      <w:bookmarkEnd w:id="1955"/>
      <w:bookmarkStart w:id="1956" w:name="_Toc477190598"/>
      <w:bookmarkEnd w:id="1956"/>
      <w:bookmarkStart w:id="1957" w:name="_Toc477190564"/>
      <w:bookmarkEnd w:id="1957"/>
      <w:bookmarkStart w:id="1958" w:name="_Toc477190448"/>
      <w:bookmarkEnd w:id="1958"/>
      <w:bookmarkStart w:id="1959" w:name="_Toc477190576"/>
      <w:bookmarkEnd w:id="1959"/>
      <w:bookmarkStart w:id="1960" w:name="_Toc477190646"/>
      <w:bookmarkEnd w:id="1960"/>
      <w:bookmarkStart w:id="1961" w:name="_Toc477190565"/>
      <w:bookmarkEnd w:id="1961"/>
      <w:bookmarkStart w:id="1962" w:name="_Toc477190454"/>
      <w:bookmarkEnd w:id="1962"/>
      <w:bookmarkStart w:id="1963" w:name="_Toc477190612"/>
      <w:bookmarkEnd w:id="1963"/>
      <w:bookmarkStart w:id="1964" w:name="_Toc477190472"/>
      <w:bookmarkEnd w:id="1964"/>
      <w:bookmarkStart w:id="1965" w:name="_Toc477190424"/>
      <w:bookmarkEnd w:id="1965"/>
      <w:bookmarkStart w:id="1966" w:name="_Toc477190482"/>
      <w:bookmarkEnd w:id="1966"/>
      <w:bookmarkStart w:id="1967" w:name="_Toc477190579"/>
      <w:bookmarkEnd w:id="1967"/>
      <w:bookmarkStart w:id="1968" w:name="_Toc477190453"/>
      <w:bookmarkEnd w:id="1968"/>
      <w:bookmarkStart w:id="1969" w:name="_Toc477190467"/>
      <w:bookmarkEnd w:id="1969"/>
      <w:bookmarkStart w:id="1970" w:name="_Toc477190440"/>
      <w:bookmarkEnd w:id="1970"/>
      <w:bookmarkStart w:id="1971" w:name="_Toc477190429"/>
      <w:bookmarkEnd w:id="1971"/>
      <w:bookmarkStart w:id="1972" w:name="_Toc477190566"/>
      <w:bookmarkEnd w:id="1972"/>
      <w:bookmarkStart w:id="1973" w:name="_Toc477190437"/>
      <w:bookmarkEnd w:id="1973"/>
      <w:bookmarkStart w:id="1974" w:name="_Toc477190580"/>
      <w:bookmarkEnd w:id="1974"/>
      <w:bookmarkStart w:id="1975" w:name="_Toc477190498"/>
      <w:bookmarkEnd w:id="1975"/>
      <w:bookmarkStart w:id="1976" w:name="_Toc477190435"/>
      <w:bookmarkEnd w:id="1976"/>
      <w:bookmarkStart w:id="1977" w:name="_Toc477190585"/>
      <w:bookmarkEnd w:id="1977"/>
      <w:bookmarkStart w:id="1978" w:name="_Toc477190444"/>
      <w:bookmarkEnd w:id="1978"/>
      <w:bookmarkStart w:id="1979" w:name="_Toc477190504"/>
      <w:bookmarkEnd w:id="1979"/>
      <w:bookmarkStart w:id="1980" w:name="_Toc477190427"/>
      <w:bookmarkEnd w:id="1980"/>
      <w:bookmarkStart w:id="1981" w:name="_Toc477190570"/>
      <w:bookmarkEnd w:id="1981"/>
      <w:bookmarkStart w:id="1982" w:name="_Toc477190584"/>
      <w:bookmarkEnd w:id="1982"/>
      <w:bookmarkStart w:id="1983" w:name="_Toc477190368"/>
      <w:bookmarkEnd w:id="1983"/>
      <w:bookmarkStart w:id="1984" w:name="_Toc477190622"/>
      <w:bookmarkEnd w:id="1984"/>
      <w:bookmarkStart w:id="1985" w:name="_Toc477190561"/>
      <w:bookmarkEnd w:id="1985"/>
      <w:bookmarkStart w:id="1986" w:name="_Toc477190599"/>
      <w:bookmarkEnd w:id="1986"/>
      <w:bookmarkStart w:id="1987" w:name="_Toc477190415"/>
      <w:bookmarkEnd w:id="1987"/>
      <w:bookmarkStart w:id="1988" w:name="_Toc477190431"/>
      <w:bookmarkEnd w:id="1988"/>
      <w:bookmarkStart w:id="1989" w:name="_Toc477190583"/>
      <w:bookmarkEnd w:id="1989"/>
      <w:bookmarkStart w:id="1990" w:name="_Toc477190653"/>
      <w:bookmarkEnd w:id="1990"/>
      <w:bookmarkStart w:id="1991" w:name="_Toc477190515"/>
      <w:bookmarkEnd w:id="1991"/>
      <w:bookmarkStart w:id="1992" w:name="_Toc477190464"/>
      <w:bookmarkEnd w:id="1992"/>
      <w:bookmarkStart w:id="1993" w:name="_Toc477190573"/>
      <w:bookmarkEnd w:id="1993"/>
      <w:bookmarkStart w:id="1994" w:name="_Toc477190505"/>
      <w:bookmarkEnd w:id="1994"/>
      <w:bookmarkStart w:id="1995" w:name="_Toc477190600"/>
      <w:bookmarkEnd w:id="1995"/>
      <w:bookmarkStart w:id="1996" w:name="_Toc477190568"/>
      <w:bookmarkEnd w:id="1996"/>
      <w:bookmarkStart w:id="1997" w:name="_Toc477190581"/>
      <w:bookmarkEnd w:id="1997"/>
      <w:bookmarkStart w:id="1998" w:name="_Toc477190590"/>
      <w:bookmarkEnd w:id="1998"/>
      <w:bookmarkStart w:id="1999" w:name="_Toc477190473"/>
      <w:bookmarkEnd w:id="1999"/>
      <w:bookmarkStart w:id="2000" w:name="_Toc477190562"/>
      <w:bookmarkEnd w:id="2000"/>
      <w:bookmarkStart w:id="2001" w:name="_Toc477190567"/>
      <w:bookmarkEnd w:id="2001"/>
      <w:bookmarkStart w:id="2002" w:name="_Toc477190421"/>
      <w:bookmarkEnd w:id="2002"/>
      <w:bookmarkStart w:id="2003" w:name="_Toc477190423"/>
      <w:bookmarkEnd w:id="2003"/>
      <w:bookmarkStart w:id="2004" w:name="_Toc38008092"/>
      <w:bookmarkStart w:id="2005" w:name="_Toc30116"/>
      <w:bookmarkStart w:id="2006" w:name="_Toc4821"/>
      <w:bookmarkStart w:id="2007" w:name="_Toc4308"/>
      <w:bookmarkStart w:id="2008" w:name="_Toc9891"/>
      <w:bookmarkStart w:id="2009" w:name="_Toc25469"/>
      <w:bookmarkStart w:id="2010" w:name="_Toc27352"/>
      <w:bookmarkStart w:id="2011" w:name="_Toc25753"/>
      <w:bookmarkStart w:id="2012" w:name="_Toc12017"/>
      <w:bookmarkStart w:id="2013" w:name="_Toc19457"/>
      <w:bookmarkStart w:id="2014" w:name="_Toc17830"/>
      <w:bookmarkStart w:id="2015" w:name="_Toc106784693"/>
      <w:bookmarkStart w:id="2016" w:name="_Toc4820"/>
      <w:bookmarkStart w:id="2017" w:name="_Toc23032"/>
      <w:bookmarkStart w:id="2018" w:name="_Toc5973"/>
      <w:bookmarkStart w:id="2019" w:name="_Toc81306854"/>
      <w:bookmarkStart w:id="2020" w:name="_Toc444791971"/>
      <w:bookmarkStart w:id="2021" w:name="_Toc326856160"/>
      <w:bookmarkStart w:id="2022" w:name="_Toc7523064"/>
      <w:bookmarkStart w:id="2023" w:name="_Toc475472685"/>
      <w:bookmarkStart w:id="2024" w:name="_Toc475472688"/>
      <w:r>
        <w:rPr>
          <w:rFonts w:hint="eastAsia" w:cs="Times New Roman" w:asciiTheme="minorEastAsia" w:hAnsiTheme="minorEastAsia" w:eastAsiaTheme="minorEastAsia"/>
          <w:b/>
          <w:bCs/>
          <w:kern w:val="2"/>
          <w:sz w:val="24"/>
          <w:szCs w:val="24"/>
          <w:lang w:val="en-US" w:eastAsia="zh-CN" w:bidi="ar-SA"/>
        </w:rPr>
        <w:t>17.</w:t>
      </w:r>
      <w:r>
        <w:rPr>
          <w:rFonts w:hint="eastAsia" w:asciiTheme="minorEastAsia" w:hAnsiTheme="minorEastAsia" w:eastAsiaTheme="minorEastAsia"/>
          <w:sz w:val="24"/>
          <w:szCs w:val="24"/>
          <w:highlight w:val="none"/>
        </w:rPr>
        <w:t>网络</w:t>
      </w:r>
      <w:r>
        <w:rPr>
          <w:rFonts w:hint="eastAsia" w:asciiTheme="minorEastAsia" w:hAnsiTheme="minorEastAsia" w:eastAsiaTheme="minorEastAsia"/>
          <w:sz w:val="24"/>
          <w:szCs w:val="24"/>
          <w:highlight w:val="none"/>
          <w:lang w:val="en-US" w:eastAsia="zh-CN"/>
        </w:rPr>
        <w:t>及</w:t>
      </w:r>
      <w:r>
        <w:rPr>
          <w:rFonts w:hint="eastAsia" w:asciiTheme="minorEastAsia" w:hAnsiTheme="minorEastAsia" w:eastAsiaTheme="minorEastAsia"/>
          <w:sz w:val="24"/>
          <w:szCs w:val="24"/>
          <w:highlight w:val="none"/>
        </w:rPr>
        <w:t>信息安全承诺书</w:t>
      </w:r>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p>
    <w:p w14:paraId="70562E33">
      <w:pPr>
        <w:pStyle w:val="89"/>
        <w:spacing w:line="360" w:lineRule="atLeast"/>
        <w:ind w:firstLine="482"/>
        <w:jc w:val="center"/>
        <w:rPr>
          <w:rFonts w:asciiTheme="minorEastAsia" w:hAnsiTheme="minorEastAsia" w:eastAsiaTheme="minorEastAsia"/>
          <w:b/>
          <w:bCs/>
          <w:sz w:val="24"/>
          <w:highlight w:val="none"/>
        </w:rPr>
      </w:pPr>
      <w:r>
        <w:rPr>
          <w:rFonts w:hint="eastAsia" w:asciiTheme="minorEastAsia" w:hAnsiTheme="minorEastAsia" w:eastAsiaTheme="minorEastAsia"/>
          <w:b/>
          <w:bCs/>
          <w:sz w:val="24"/>
          <w:highlight w:val="none"/>
        </w:rPr>
        <w:t>网络</w:t>
      </w:r>
      <w:r>
        <w:rPr>
          <w:rFonts w:hint="eastAsia" w:asciiTheme="minorEastAsia" w:hAnsiTheme="minorEastAsia" w:eastAsiaTheme="minorEastAsia"/>
          <w:b/>
          <w:bCs/>
          <w:sz w:val="24"/>
          <w:highlight w:val="none"/>
          <w:lang w:val="en-US" w:eastAsia="zh-CN"/>
        </w:rPr>
        <w:t>及</w:t>
      </w:r>
      <w:r>
        <w:rPr>
          <w:rFonts w:hint="eastAsia" w:asciiTheme="minorEastAsia" w:hAnsiTheme="minorEastAsia" w:eastAsiaTheme="minorEastAsia"/>
          <w:b/>
          <w:bCs/>
          <w:sz w:val="24"/>
          <w:highlight w:val="none"/>
        </w:rPr>
        <w:t>信息安全承诺书</w:t>
      </w:r>
    </w:p>
    <w:p w14:paraId="0ADBEE8F">
      <w:pPr>
        <w:pStyle w:val="89"/>
        <w:spacing w:line="360" w:lineRule="atLeast"/>
        <w:ind w:firstLine="482"/>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[根据规定使用本承诺书的项目，应将本承诺书作为不可偏离文件，并作为合同附件]</w:t>
      </w:r>
    </w:p>
    <w:p w14:paraId="456595A8">
      <w:pPr>
        <w:pStyle w:val="89"/>
        <w:spacing w:line="360" w:lineRule="atLeast"/>
        <w:ind w:firstLine="482"/>
        <w:jc w:val="center"/>
        <w:rPr>
          <w:rFonts w:asciiTheme="minorEastAsia" w:hAnsiTheme="minorEastAsia" w:eastAsiaTheme="minorEastAsia"/>
          <w:b/>
          <w:bCs/>
          <w:sz w:val="24"/>
          <w:highlight w:val="none"/>
        </w:rPr>
      </w:pPr>
    </w:p>
    <w:p w14:paraId="5E37FA43">
      <w:pPr>
        <w:pStyle w:val="89"/>
        <w:snapToGrid w:val="0"/>
        <w:spacing w:line="440" w:lineRule="exact"/>
        <w:ind w:firstLine="482"/>
        <w:rPr>
          <w:rFonts w:asciiTheme="minorEastAsia" w:hAnsiTheme="minorEastAsia" w:eastAsiaTheme="minorEastAsia"/>
          <w:szCs w:val="21"/>
          <w:highlight w:val="none"/>
        </w:rPr>
      </w:pPr>
      <w:r>
        <w:rPr>
          <w:rFonts w:hint="eastAsia" w:asciiTheme="minorEastAsia" w:hAnsiTheme="minorEastAsia" w:eastAsiaTheme="minorEastAsia"/>
          <w:b/>
          <w:bCs/>
          <w:szCs w:val="21"/>
          <w:highlight w:val="none"/>
        </w:rPr>
        <w:t>致：【XX公司[</w:t>
      </w:r>
      <w:r>
        <w:rPr>
          <w:rFonts w:hint="eastAsia" w:asciiTheme="minorEastAsia" w:hAnsiTheme="minorEastAsia" w:eastAsiaTheme="minorEastAsia"/>
          <w:b/>
          <w:bCs/>
          <w:szCs w:val="21"/>
          <w:highlight w:val="none"/>
          <w:lang w:eastAsia="zh-CN"/>
        </w:rPr>
        <w:t>采购人</w:t>
      </w:r>
      <w:r>
        <w:rPr>
          <w:rFonts w:hint="eastAsia" w:asciiTheme="minorEastAsia" w:hAnsiTheme="minorEastAsia" w:eastAsiaTheme="minorEastAsia"/>
          <w:b/>
          <w:bCs/>
          <w:szCs w:val="21"/>
          <w:highlight w:val="none"/>
        </w:rPr>
        <w:t>名称]】：</w:t>
      </w:r>
    </w:p>
    <w:p w14:paraId="5EFA78E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本单位郑重承诺遵守本承诺书，如有违反本承诺书有关条款的行为，本单位承担由此带来的一切责任。</w:t>
      </w:r>
    </w:p>
    <w:p w14:paraId="443CDCD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一、本单位承诺遵守《中华人民共和国网络安全法》《中华人民共和国数据安全法》《中华人民共和国个人信息保护法》《全国人民代表大会常务委员会关于加强网络信息保护的决定》《中华人民共和国电信条例》《中华人民共和国计算机信息系统安全保护条例》《计算机信息网络国际联网安全保护管理办法》《互联网信息服务管理办法》《非经营性互联网信息服务备案管理办法》《移动互联网应用程序信息服务管理规定》《网络信息内容生态治理规定》《电信和互联网用户个人信息保护规定》《公共互联网网络安全突发事件应急预案》《关键信息基础设施安全保护条例》《网络安全审查办法》及有关法律、法规、规章和政策文件规定（“相关规定”）。</w:t>
      </w:r>
    </w:p>
    <w:p w14:paraId="2B0DCE5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二、本单位</w:t>
      </w:r>
      <w:r>
        <w:rPr>
          <w:rFonts w:hint="eastAsia" w:asciiTheme="minorEastAsia" w:hAnsiTheme="minorEastAsia" w:eastAsiaTheme="minorEastAsia"/>
          <w:szCs w:val="21"/>
          <w:highlight w:val="none"/>
          <w:lang w:val="en-US" w:eastAsia="zh-CN"/>
        </w:rPr>
        <w:t>承诺</w:t>
      </w:r>
      <w:r>
        <w:rPr>
          <w:rFonts w:hint="eastAsia" w:asciiTheme="minorEastAsia" w:hAnsiTheme="minorEastAsia" w:eastAsiaTheme="minorEastAsia"/>
          <w:szCs w:val="21"/>
          <w:highlight w:val="none"/>
        </w:rPr>
        <w:t>向贵公司提供产品或服务符合相关规定、政府主管部门要求以及与贵公司的合同/协议（“合同”）约定，落实网络安全、数据安全和个人信息保护责任。本单位承诺具备履行合同所需的全部合法必要的资质条件。</w:t>
      </w:r>
    </w:p>
    <w:p w14:paraId="456AC39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三、本单位承诺按照用户真实身份信息制度（“实名制”）的要求提供身份信息、使用业务，并保证所提供信息、资料的真实、完整、准确、有效。</w:t>
      </w:r>
    </w:p>
    <w:p w14:paraId="0414A74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四、本单位保证不利用网络（包括但不限于固定网、移动网、互联网，下同）从事危害国家安全、泄露国家秘密等违法犯罪活动，不侵犯他人的合法权益。</w:t>
      </w:r>
    </w:p>
    <w:p w14:paraId="6D5C8BB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五、本单位保证在处理个人信息前依法向个人信息主体（“个人”）履行法定告知义务并取得个人的明确同意。法律、行政法规规定处理个人信息应当取得个人单独同意或者书面同意的，本单位保证在处理个人信息前依法取得个人单独同意或书面同意。</w:t>
      </w:r>
    </w:p>
    <w:p w14:paraId="0BCA6EB6">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六、本单位向贵公司提供个人信息或委托贵公司处理个人信息的，本单位承诺已依法向个人履行了告知义务，并依法取得了个人同意。本单位承诺，向贵公司提供或委托贵公司处理的个人信息等数据来源合法合规，不存在违反相关规定以及合同约定的情况。</w:t>
      </w:r>
    </w:p>
    <w:p w14:paraId="4E0240D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七、本单位受贵公司委托处理个人信息等数据的，或本单位与贵公司共同处理个人信息等数据的，本单位承诺按照与贵公司的合同约定处理，不得超出约定的处理目的、处理方式等</w:t>
      </w:r>
      <w:r>
        <w:rPr>
          <w:rFonts w:hint="eastAsia" w:asciiTheme="minorEastAsia" w:hAnsiTheme="minorEastAsia" w:eastAsiaTheme="minorEastAsia"/>
          <w:szCs w:val="21"/>
          <w:highlight w:val="none"/>
          <w:lang w:val="en-US" w:eastAsia="zh-CN"/>
        </w:rPr>
        <w:t>处理上述数据，严格遵循数据处理时限</w:t>
      </w:r>
      <w:r>
        <w:rPr>
          <w:rFonts w:hint="eastAsia" w:asciiTheme="minorEastAsia" w:hAnsiTheme="minorEastAsia" w:eastAsiaTheme="minorEastAsia"/>
          <w:szCs w:val="21"/>
          <w:highlight w:val="none"/>
        </w:rPr>
        <w:t>。如果合同不生效、无效、被撤销</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终止，</w:t>
      </w:r>
      <w:r>
        <w:rPr>
          <w:rFonts w:hint="eastAsia" w:asciiTheme="minorEastAsia" w:hAnsiTheme="minorEastAsia" w:eastAsiaTheme="minorEastAsia"/>
          <w:szCs w:val="21"/>
          <w:highlight w:val="none"/>
          <w:lang w:val="en-US" w:eastAsia="zh-CN"/>
        </w:rPr>
        <w:t>或其他贵公司认为必要的情况下，</w:t>
      </w:r>
      <w:r>
        <w:rPr>
          <w:rFonts w:hint="eastAsia" w:asciiTheme="minorEastAsia" w:hAnsiTheme="minorEastAsia" w:eastAsiaTheme="minorEastAsia"/>
          <w:szCs w:val="21"/>
          <w:highlight w:val="none"/>
        </w:rPr>
        <w:t>本单位承诺按照贵公司的要求</w:t>
      </w:r>
      <w:r>
        <w:rPr>
          <w:rFonts w:hint="eastAsia" w:asciiTheme="minorEastAsia" w:hAnsiTheme="minorEastAsia" w:eastAsiaTheme="minorEastAsia"/>
          <w:szCs w:val="21"/>
          <w:highlight w:val="none"/>
          <w:lang w:val="en-US" w:eastAsia="zh-CN"/>
        </w:rPr>
        <w:t>对</w:t>
      </w:r>
      <w:r>
        <w:rPr>
          <w:rFonts w:hint="eastAsia" w:asciiTheme="minorEastAsia" w:hAnsiTheme="minorEastAsia" w:eastAsiaTheme="minorEastAsia"/>
          <w:szCs w:val="21"/>
          <w:highlight w:val="none"/>
        </w:rPr>
        <w:t>个人信息等数据（包括</w:t>
      </w:r>
      <w:r>
        <w:rPr>
          <w:rFonts w:hint="eastAsia" w:asciiTheme="minorEastAsia" w:hAnsiTheme="minorEastAsia" w:eastAsiaTheme="minorEastAsia"/>
          <w:szCs w:val="21"/>
          <w:highlight w:val="none"/>
          <w:lang w:val="en-US" w:eastAsia="zh-CN"/>
        </w:rPr>
        <w:t>但不限于原始数据、</w:t>
      </w:r>
      <w:r>
        <w:rPr>
          <w:rFonts w:hint="eastAsia" w:asciiTheme="minorEastAsia" w:hAnsiTheme="minorEastAsia" w:eastAsiaTheme="minorEastAsia"/>
          <w:szCs w:val="21"/>
          <w:highlight w:val="none"/>
        </w:rPr>
        <w:t>备份</w:t>
      </w:r>
      <w:r>
        <w:rPr>
          <w:rFonts w:hint="eastAsia" w:asciiTheme="minorEastAsia" w:hAnsiTheme="minorEastAsia" w:eastAsiaTheme="minorEastAsia"/>
          <w:szCs w:val="21"/>
          <w:highlight w:val="none"/>
          <w:lang w:val="en-US" w:eastAsia="zh-CN"/>
        </w:rPr>
        <w:t>数据、基于所提供的数据产生的衍生数据</w:t>
      </w:r>
      <w:r>
        <w:rPr>
          <w:rFonts w:hint="eastAsia" w:asciiTheme="minorEastAsia" w:hAnsiTheme="minorEastAsia" w:eastAsiaTheme="minorEastAsia"/>
          <w:szCs w:val="21"/>
          <w:highlight w:val="none"/>
        </w:rPr>
        <w:t>）</w:t>
      </w:r>
      <w:r>
        <w:rPr>
          <w:rFonts w:hint="eastAsia" w:asciiTheme="minorEastAsia" w:hAnsiTheme="minorEastAsia" w:eastAsiaTheme="minorEastAsia"/>
          <w:szCs w:val="21"/>
          <w:highlight w:val="none"/>
          <w:lang w:val="en-US" w:eastAsia="zh-CN"/>
        </w:rPr>
        <w:t>予以返还或者删除</w:t>
      </w:r>
      <w:r>
        <w:rPr>
          <w:rFonts w:hint="eastAsia" w:asciiTheme="minorEastAsia" w:hAnsiTheme="minorEastAsia" w:eastAsiaTheme="minorEastAsia"/>
          <w:szCs w:val="21"/>
          <w:highlight w:val="none"/>
        </w:rPr>
        <w:t>，且未经贵公司同意不得以任何方式留存履行合同过程中所</w:t>
      </w:r>
      <w:r>
        <w:rPr>
          <w:rFonts w:hint="eastAsia" w:asciiTheme="minorEastAsia" w:hAnsiTheme="minorEastAsia" w:eastAsiaTheme="minorEastAsia"/>
          <w:szCs w:val="21"/>
          <w:highlight w:val="none"/>
          <w:lang w:val="en-US" w:eastAsia="zh-CN"/>
        </w:rPr>
        <w:t>处理</w:t>
      </w:r>
      <w:r>
        <w:rPr>
          <w:rFonts w:hint="eastAsia" w:asciiTheme="minorEastAsia" w:hAnsiTheme="minorEastAsia" w:eastAsiaTheme="minorEastAsia"/>
          <w:szCs w:val="21"/>
          <w:highlight w:val="none"/>
        </w:rPr>
        <w:t>的任何</w:t>
      </w:r>
      <w:r>
        <w:rPr>
          <w:rFonts w:hint="eastAsia" w:asciiTheme="minorEastAsia" w:hAnsiTheme="minorEastAsia" w:eastAsiaTheme="minorEastAsia"/>
          <w:szCs w:val="21"/>
          <w:highlight w:val="none"/>
          <w:lang w:val="en-US" w:eastAsia="zh-CN"/>
        </w:rPr>
        <w:t>上述</w:t>
      </w:r>
      <w:r>
        <w:rPr>
          <w:rFonts w:hint="eastAsia" w:asciiTheme="minorEastAsia" w:hAnsiTheme="minorEastAsia" w:eastAsiaTheme="minorEastAsia"/>
          <w:szCs w:val="21"/>
          <w:highlight w:val="none"/>
        </w:rPr>
        <w:t>数据。</w:t>
      </w:r>
      <w:r>
        <w:rPr>
          <w:rFonts w:hint="eastAsia" w:asciiTheme="minorEastAsia" w:hAnsiTheme="minorEastAsia" w:eastAsiaTheme="minorEastAsia"/>
          <w:szCs w:val="21"/>
          <w:highlight w:val="none"/>
          <w:lang w:val="en-US" w:eastAsia="zh-CN"/>
        </w:rPr>
        <w:t>上述数据的返还或删除并不免除本单位其他义务。</w:t>
      </w:r>
      <w:r>
        <w:rPr>
          <w:rFonts w:hint="eastAsia" w:asciiTheme="minorEastAsia" w:hAnsiTheme="minorEastAsia" w:eastAsiaTheme="minorEastAsia"/>
          <w:szCs w:val="21"/>
          <w:highlight w:val="none"/>
        </w:rPr>
        <w:t>未经贵公司同意,本单位不得转委托他人处理上述数据。本单位承诺按照法律规定及贵公司要求处理个人基于其主体权利提出的请求（包括个人信息查询、更正、删除、撤回授权同意、注销账户、获取个人信息副本等）。</w:t>
      </w:r>
    </w:p>
    <w:p w14:paraId="3B0A3ED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八、对本单位在合同签订及履行过程中接触或知悉的贵公司和/或贵公司客户的数据和用户个人信息，本单位应当严格保密，不得向其他方提供、披露。本单位应当按照相关规定、政府主管部门要求和合同约定采取保密措施，防止未经授权的访问以及个人信息等数据的泄露、篡改、丢失。对于本单位在合同签订及履行过程中接触和获得的个人信息等数据，应当依法在境内存储，且不得向境外提供。</w:t>
      </w:r>
    </w:p>
    <w:p w14:paraId="7DEBAF0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九、本单位承诺严格按照相关</w:t>
      </w:r>
      <w:r>
        <w:rPr>
          <w:rFonts w:hint="eastAsia" w:asciiTheme="minorEastAsia" w:hAnsiTheme="minorEastAsia" w:eastAsiaTheme="minorEastAsia"/>
          <w:szCs w:val="21"/>
          <w:highlight w:val="none"/>
          <w:lang w:val="en-US" w:eastAsia="zh-CN"/>
        </w:rPr>
        <w:t>规定</w:t>
      </w:r>
      <w:r>
        <w:rPr>
          <w:rFonts w:hint="eastAsia" w:asciiTheme="minorEastAsia" w:hAnsiTheme="minorEastAsia" w:eastAsiaTheme="minorEastAsia"/>
          <w:szCs w:val="21"/>
          <w:highlight w:val="none"/>
        </w:rPr>
        <w:t>做好本单位网络安全、数据安全和个人信息保护管理工作，健全各项网络安全、数据安全和个人信息保护管理制度和操作规程，落实各项安全保护技术措施，实施个人信息和数据分类分级管理、依法落实个人信息保护影响评估和数据安全风险评估、报告、信息共享、监测预警机制，定期对从业人员进行安全教育和培训，依法设置网络安全、数据安全和个人信息保护责任人和管理机构，按政府主管部门要求设立信息安全责任人和信息安全审查员，当</w:t>
      </w:r>
      <w:r>
        <w:rPr>
          <w:rFonts w:hint="eastAsia" w:asciiTheme="minorEastAsia" w:hAnsiTheme="minorEastAsia" w:eastAsiaTheme="minorEastAsia"/>
          <w:szCs w:val="21"/>
          <w:highlight w:val="none"/>
          <w:lang w:val="en-US" w:eastAsia="zh-CN"/>
        </w:rPr>
        <w:t>信息安全责任人</w:t>
      </w:r>
      <w:r>
        <w:rPr>
          <w:rFonts w:hint="eastAsia" w:asciiTheme="minorEastAsia" w:hAnsiTheme="minorEastAsia" w:eastAsiaTheme="minorEastAsia"/>
          <w:szCs w:val="21"/>
          <w:highlight w:val="none"/>
        </w:rPr>
        <w:t>发生变更时及时通知贵公司。否则，导致的一切后果由本单位承担，贵公司有权立即终止合同。</w:t>
      </w:r>
    </w:p>
    <w:p w14:paraId="32A4D525">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本单位承诺配合贵公司为公安机关、国家安全机关、网信部门等政府部门依法履行职责、维护国家安全和侦查犯罪等活动提供协助，如实提供有关安全保护的信息、资料及数据文件，积极协助查处信息网络违法犯罪行为。</w:t>
      </w:r>
    </w:p>
    <w:p w14:paraId="6DB45F5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十一、本单位承诺利用网络发送的信息以及向贵公司提供的信息真实、准确、合法。该等信息内容应当严格符合相关规定，本单位不得通过通信网络、互联网制作、复制、查阅和传播有害信息</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不得散发传播违法、不健康、反动等信息</w:t>
      </w:r>
      <w:r>
        <w:rPr>
          <w:rFonts w:hint="eastAsia" w:asciiTheme="minorEastAsia" w:hAnsiTheme="minorEastAsia" w:eastAsiaTheme="minorEastAsia"/>
          <w:szCs w:val="21"/>
          <w:highlight w:val="none"/>
        </w:rPr>
        <w:t>，不得</w:t>
      </w:r>
      <w:r>
        <w:rPr>
          <w:rFonts w:hint="eastAsia" w:asciiTheme="minorEastAsia" w:hAnsiTheme="minorEastAsia" w:eastAsiaTheme="minorEastAsia"/>
          <w:szCs w:val="21"/>
          <w:highlight w:val="none"/>
          <w:lang w:val="en-US" w:eastAsia="zh-CN"/>
        </w:rPr>
        <w:t>制作、复制、查阅和传播</w:t>
      </w:r>
      <w:r>
        <w:rPr>
          <w:rFonts w:hint="eastAsia" w:asciiTheme="minorEastAsia" w:hAnsiTheme="minorEastAsia" w:eastAsiaTheme="minorEastAsia"/>
          <w:szCs w:val="21"/>
          <w:highlight w:val="none"/>
        </w:rPr>
        <w:t>任何违反下列要求（即“九不准”及“六不许”）的信息。</w:t>
      </w:r>
    </w:p>
    <w:p w14:paraId="191DE69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“九不准”，即不准</w:t>
      </w:r>
      <w:r>
        <w:rPr>
          <w:rFonts w:hint="eastAsia" w:asciiTheme="minorEastAsia" w:hAnsiTheme="minorEastAsia" w:eastAsiaTheme="minorEastAsia"/>
          <w:szCs w:val="21"/>
          <w:highlight w:val="none"/>
          <w:lang w:val="en-US" w:eastAsia="zh-CN"/>
        </w:rPr>
        <w:t>制作、复制、查阅和传播</w:t>
      </w:r>
      <w:r>
        <w:rPr>
          <w:rFonts w:hint="eastAsia" w:asciiTheme="minorEastAsia" w:hAnsiTheme="minorEastAsia" w:eastAsiaTheme="minorEastAsia"/>
          <w:szCs w:val="21"/>
          <w:highlight w:val="none"/>
        </w:rPr>
        <w:t>含有以下内容的信息：</w:t>
      </w:r>
    </w:p>
    <w:p w14:paraId="34126E9E">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1、反对宪法所确定的基本原则的</w:t>
      </w:r>
      <w:r>
        <w:rPr>
          <w:rFonts w:hint="eastAsia" w:asciiTheme="minorEastAsia" w:hAnsiTheme="minorEastAsia" w:eastAsiaTheme="minorEastAsia"/>
          <w:szCs w:val="21"/>
          <w:highlight w:val="none"/>
          <w:lang w:eastAsia="zh-CN"/>
        </w:rPr>
        <w:t>；</w:t>
      </w:r>
    </w:p>
    <w:p w14:paraId="48E4868B">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2、危害国家安全，泄露国家秘密，颠覆国家政权，破坏国家统一的</w:t>
      </w:r>
      <w:r>
        <w:rPr>
          <w:rFonts w:hint="eastAsia" w:asciiTheme="minorEastAsia" w:hAnsiTheme="minorEastAsia" w:eastAsiaTheme="minorEastAsia"/>
          <w:szCs w:val="21"/>
          <w:highlight w:val="none"/>
          <w:lang w:eastAsia="zh-CN"/>
        </w:rPr>
        <w:t>；</w:t>
      </w:r>
    </w:p>
    <w:p w14:paraId="09545424">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3、损害国家荣誉和利益的</w:t>
      </w:r>
      <w:r>
        <w:rPr>
          <w:rFonts w:hint="eastAsia" w:asciiTheme="minorEastAsia" w:hAnsiTheme="minorEastAsia" w:eastAsiaTheme="minorEastAsia"/>
          <w:szCs w:val="21"/>
          <w:highlight w:val="none"/>
          <w:lang w:eastAsia="zh-CN"/>
        </w:rPr>
        <w:t>；</w:t>
      </w:r>
    </w:p>
    <w:p w14:paraId="0ABB41C6">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4、煽动民族仇恨、民族歧视，破坏民族团结的</w:t>
      </w:r>
      <w:r>
        <w:rPr>
          <w:rFonts w:hint="eastAsia" w:asciiTheme="minorEastAsia" w:hAnsiTheme="minorEastAsia" w:eastAsiaTheme="minorEastAsia"/>
          <w:szCs w:val="21"/>
          <w:highlight w:val="none"/>
          <w:lang w:eastAsia="zh-CN"/>
        </w:rPr>
        <w:t>；</w:t>
      </w:r>
    </w:p>
    <w:p w14:paraId="573BE8D0">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5、破坏国家宗教政策，宣扬邪教和封建迷信的</w:t>
      </w:r>
      <w:r>
        <w:rPr>
          <w:rFonts w:hint="eastAsia" w:asciiTheme="minorEastAsia" w:hAnsiTheme="minorEastAsia" w:eastAsiaTheme="minorEastAsia"/>
          <w:szCs w:val="21"/>
          <w:highlight w:val="none"/>
          <w:lang w:eastAsia="zh-CN"/>
        </w:rPr>
        <w:t>；</w:t>
      </w:r>
    </w:p>
    <w:p w14:paraId="1BA1B6AF">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6、散布谣言，扰乱社会秩序，破坏社会稳定的</w:t>
      </w:r>
      <w:r>
        <w:rPr>
          <w:rFonts w:hint="eastAsia" w:asciiTheme="minorEastAsia" w:hAnsiTheme="minorEastAsia" w:eastAsiaTheme="minorEastAsia"/>
          <w:szCs w:val="21"/>
          <w:highlight w:val="none"/>
          <w:lang w:eastAsia="zh-CN"/>
        </w:rPr>
        <w:t>；</w:t>
      </w:r>
    </w:p>
    <w:p w14:paraId="4B32D161">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7、散布淫秽、色情、赌博、暴力、凶杀、恐怖或者教唆犯罪的</w:t>
      </w:r>
      <w:r>
        <w:rPr>
          <w:rFonts w:hint="eastAsia" w:asciiTheme="minorEastAsia" w:hAnsiTheme="minorEastAsia" w:eastAsiaTheme="minorEastAsia"/>
          <w:szCs w:val="21"/>
          <w:highlight w:val="none"/>
          <w:lang w:eastAsia="zh-CN"/>
        </w:rPr>
        <w:t>；</w:t>
      </w:r>
    </w:p>
    <w:p w14:paraId="7154F76F">
      <w:pPr>
        <w:topLinePunct/>
        <w:snapToGrid w:val="0"/>
        <w:spacing w:line="400" w:lineRule="exact"/>
        <w:ind w:firstLine="420" w:firstLineChars="200"/>
        <w:rPr>
          <w:rFonts w:hint="eastAsia" w:asciiTheme="minorEastAsia" w:hAnsiTheme="minorEastAsia" w:eastAsiaTheme="minorEastAsia"/>
          <w:szCs w:val="21"/>
          <w:highlight w:val="none"/>
          <w:lang w:eastAsia="zh-CN"/>
        </w:rPr>
      </w:pPr>
      <w:r>
        <w:rPr>
          <w:rFonts w:asciiTheme="minorEastAsia" w:hAnsiTheme="minorEastAsia" w:eastAsiaTheme="minorEastAsia"/>
          <w:szCs w:val="21"/>
          <w:highlight w:val="none"/>
        </w:rPr>
        <w:t>8、侮辱或者诽谤他人，侵害他人合法权益的</w:t>
      </w:r>
      <w:r>
        <w:rPr>
          <w:rFonts w:hint="eastAsia" w:asciiTheme="minorEastAsia" w:hAnsiTheme="minorEastAsia" w:eastAsiaTheme="minorEastAsia"/>
          <w:szCs w:val="21"/>
          <w:highlight w:val="none"/>
          <w:lang w:eastAsia="zh-CN"/>
        </w:rPr>
        <w:t>；</w:t>
      </w:r>
    </w:p>
    <w:p w14:paraId="43D38F9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9、含有法律</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法规禁止的其他内容的。</w:t>
      </w:r>
    </w:p>
    <w:p w14:paraId="5BBBBF3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 xml:space="preserve"> “六不许”，即：</w:t>
      </w:r>
    </w:p>
    <w:p w14:paraId="639F1C8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1、决不允许在群众中散布违背党的理论和路线方针政策的意见。</w:t>
      </w:r>
    </w:p>
    <w:p w14:paraId="664BBCB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2、决不允许公开发表同中央的决定相违背的言论。</w:t>
      </w:r>
    </w:p>
    <w:p w14:paraId="293771B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3、决不允许对中央的决策部署阳奉阴违。</w:t>
      </w:r>
    </w:p>
    <w:p w14:paraId="3CC473B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4、决不允许编造、传播政治谣言及丑化党和国家形象的言论。</w:t>
      </w:r>
    </w:p>
    <w:p w14:paraId="128CE53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5、决不允许以任何形式泄露党和国家的秘密。</w:t>
      </w:r>
    </w:p>
    <w:p w14:paraId="4EBEF3AF">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6、决不允许参与各种非法组织和非法活动。</w:t>
      </w:r>
    </w:p>
    <w:p w14:paraId="4F5D259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二、本单位承诺不利用提供给贵公司的产品或服务或通过网络从事危害中华人民共和国安全、泄露中华人民共和国国家秘密等活动，不从事任何危害网络安全、数据安全的活动，不从事侵犯他人合法权益的活动，包括但不限于：</w:t>
      </w:r>
    </w:p>
    <w:p w14:paraId="523D2DE1">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1、未经允许进入网络或者使用网络资源；</w:t>
      </w:r>
    </w:p>
    <w:p w14:paraId="30C8FFC2">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2、未经允许对网络功能进行删除、修改或者增加；</w:t>
      </w:r>
    </w:p>
    <w:p w14:paraId="5BDF68BA">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3、未经允许对网络中存储或者传输的数据和应用程序进行删除、修改或者增加；</w:t>
      </w:r>
    </w:p>
    <w:p w14:paraId="7782101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4、制作、传播、利用网络病毒等恶意程序或破坏性程序；</w:t>
      </w:r>
    </w:p>
    <w:p w14:paraId="26174DE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5、非法收集、使用、加工、传输或以其他方式处理个人信息等数据；</w:t>
      </w:r>
    </w:p>
    <w:p w14:paraId="7CCFEC0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、非法买卖、提供或者公开个人信息等数据；</w:t>
      </w:r>
    </w:p>
    <w:p w14:paraId="6DA7E604">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、从事危害国家安全、公共利益的个人信息和数据处理活动；</w:t>
      </w:r>
    </w:p>
    <w:p w14:paraId="1BF7A3DB">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8</w:t>
      </w:r>
      <w:r>
        <w:rPr>
          <w:rFonts w:hint="eastAsia" w:asciiTheme="minorEastAsia" w:hAnsiTheme="minorEastAsia" w:eastAsiaTheme="minorEastAsia"/>
          <w:szCs w:val="21"/>
          <w:highlight w:val="none"/>
        </w:rPr>
        <w:t>、其他危害网络安全、数据安全、侵犯他人合法权益的活动。</w:t>
      </w:r>
    </w:p>
    <w:p w14:paraId="6AF299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三、本单位承诺在履行合同过程中发生重大安全事故或发生或者可能发生个人信息等数据泄露、篡改、丢失时，立即采取应急措施，保留有关原始记录，在24小时内向有关部门报告并书面通知贵公司。如发生重大安全事故或其他影响网络安全、数据安全和个人信息保护的突发事件，贵公司有权采取包括但不限于停止合同项下业务等紧急措施，以保证网络安全、数据安全和保护个人信息。</w:t>
      </w:r>
    </w:p>
    <w:p w14:paraId="1AD5AF5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十四、本单位承诺不进行法律、法规、政府监管规定等禁止的行为，包括但不限于：</w:t>
      </w:r>
    </w:p>
    <w:p w14:paraId="4B9BBA36">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1、所提供或接入的设备未取得入网许可，或可能影响网络安全或网络服务质量；</w:t>
      </w:r>
    </w:p>
    <w:p w14:paraId="1C931F0F">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2、将</w:t>
      </w:r>
      <w:r>
        <w:rPr>
          <w:rFonts w:hint="eastAsia" w:asciiTheme="minorEastAsia" w:hAnsiTheme="minorEastAsia" w:eastAsiaTheme="minorEastAsia"/>
          <w:szCs w:val="21"/>
          <w:highlight w:val="none"/>
        </w:rPr>
        <w:t>合同履行</w:t>
      </w:r>
      <w:r>
        <w:rPr>
          <w:rFonts w:asciiTheme="minorEastAsia" w:hAnsiTheme="minorEastAsia" w:eastAsiaTheme="minorEastAsia"/>
          <w:szCs w:val="21"/>
          <w:highlight w:val="none"/>
        </w:rPr>
        <w:t>中获得的账号、密码私自转让、转租或以非法</w:t>
      </w:r>
      <w:r>
        <w:rPr>
          <w:rFonts w:hint="eastAsia" w:asciiTheme="minorEastAsia" w:hAnsiTheme="minorEastAsia" w:eastAsiaTheme="minorEastAsia"/>
          <w:szCs w:val="21"/>
          <w:highlight w:val="none"/>
        </w:rPr>
        <w:t>方式</w:t>
      </w:r>
      <w:r>
        <w:rPr>
          <w:rFonts w:asciiTheme="minorEastAsia" w:hAnsiTheme="minorEastAsia" w:eastAsiaTheme="minorEastAsia"/>
          <w:szCs w:val="21"/>
          <w:highlight w:val="none"/>
        </w:rPr>
        <w:t>提供给第三方；</w:t>
      </w:r>
    </w:p>
    <w:p w14:paraId="7239322A">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3、在</w:t>
      </w:r>
      <w:r>
        <w:rPr>
          <w:rFonts w:hint="eastAsia" w:asciiTheme="minorEastAsia" w:hAnsiTheme="minorEastAsia" w:eastAsiaTheme="minorEastAsia"/>
          <w:szCs w:val="21"/>
          <w:highlight w:val="none"/>
        </w:rPr>
        <w:t>设备、</w:t>
      </w:r>
      <w:r>
        <w:rPr>
          <w:rFonts w:asciiTheme="minorEastAsia" w:hAnsiTheme="minorEastAsia" w:eastAsiaTheme="minorEastAsia"/>
          <w:szCs w:val="21"/>
          <w:highlight w:val="none"/>
        </w:rPr>
        <w:t>系统、计算机软件</w:t>
      </w:r>
      <w:r>
        <w:rPr>
          <w:rFonts w:hint="eastAsia" w:asciiTheme="minorEastAsia" w:hAnsiTheme="minorEastAsia" w:eastAsiaTheme="minorEastAsia"/>
          <w:szCs w:val="21"/>
          <w:highlight w:val="none"/>
        </w:rPr>
        <w:t>等产品或服务</w:t>
      </w:r>
      <w:r>
        <w:rPr>
          <w:rFonts w:asciiTheme="minorEastAsia" w:hAnsiTheme="minorEastAsia" w:eastAsiaTheme="minorEastAsia"/>
          <w:szCs w:val="21"/>
          <w:highlight w:val="none"/>
        </w:rPr>
        <w:t>中非法植入后门程序</w:t>
      </w:r>
      <w:r>
        <w:rPr>
          <w:rFonts w:hint="eastAsia" w:asciiTheme="minorEastAsia" w:hAnsiTheme="minorEastAsia" w:eastAsiaTheme="minorEastAsia"/>
          <w:szCs w:val="21"/>
          <w:highlight w:val="none"/>
        </w:rPr>
        <w:t>等恶意程序或破坏性程序</w:t>
      </w:r>
      <w:r>
        <w:rPr>
          <w:rFonts w:asciiTheme="minorEastAsia" w:hAnsiTheme="minorEastAsia" w:eastAsiaTheme="minorEastAsia"/>
          <w:szCs w:val="21"/>
          <w:highlight w:val="none"/>
        </w:rPr>
        <w:t>；</w:t>
      </w:r>
    </w:p>
    <w:p w14:paraId="77E3D677">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4、</w:t>
      </w:r>
      <w:r>
        <w:rPr>
          <w:rFonts w:hint="eastAsia" w:asciiTheme="minorEastAsia" w:hAnsiTheme="minorEastAsia" w:eastAsiaTheme="minorEastAsia"/>
          <w:szCs w:val="21"/>
          <w:highlight w:val="none"/>
        </w:rPr>
        <w:t>利用提供产品或服务的便利条件非法获取用户个人信息等数据及重要运营数据、非法控制和操纵用户设备；</w:t>
      </w:r>
    </w:p>
    <w:p w14:paraId="50CC886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5</w:t>
      </w:r>
      <w:r>
        <w:rPr>
          <w:rFonts w:hint="eastAsia" w:asciiTheme="minorEastAsia" w:hAnsiTheme="minorEastAsia" w:eastAsiaTheme="minorEastAsia"/>
          <w:szCs w:val="21"/>
          <w:highlight w:val="none"/>
        </w:rPr>
        <w:t>、未经贵公司同意擅自公开所提供产品或服务的源代码；</w:t>
      </w:r>
    </w:p>
    <w:p w14:paraId="1577826E">
      <w:pPr>
        <w:topLinePunct/>
        <w:snapToGrid w:val="0"/>
        <w:spacing w:line="400" w:lineRule="exact"/>
        <w:ind w:firstLine="420" w:firstLineChars="200"/>
        <w:rPr>
          <w:rFonts w:asciiTheme="minorEastAsia" w:hAnsiTheme="minorEastAsia" w:eastAsiaTheme="minorEastAsia"/>
          <w:szCs w:val="21"/>
          <w:highlight w:val="none"/>
        </w:rPr>
      </w:pP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未经贵公司同意探测、发布贵公司及其关联方（“中国电信”）的网络、终端、信息系统漏洞，对中国电信运营的网络开展渗透测试；</w:t>
      </w:r>
    </w:p>
    <w:p w14:paraId="6883596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7</w:t>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法律法规规定或</w:t>
      </w:r>
      <w:r>
        <w:rPr>
          <w:rFonts w:hint="eastAsia" w:asciiTheme="minorEastAsia" w:hAnsiTheme="minorEastAsia" w:eastAsiaTheme="minorEastAsia"/>
          <w:szCs w:val="21"/>
          <w:highlight w:val="none"/>
        </w:rPr>
        <w:t>合同约定的其他禁止行为</w:t>
      </w:r>
      <w:r>
        <w:rPr>
          <w:rFonts w:asciiTheme="minorEastAsia" w:hAnsiTheme="minorEastAsia" w:eastAsiaTheme="minorEastAsia"/>
          <w:szCs w:val="21"/>
          <w:highlight w:val="none"/>
        </w:rPr>
        <w:t>。</w:t>
      </w:r>
    </w:p>
    <w:p w14:paraId="0940342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十五、本单位承诺提供给贵公司的产品或服务已关闭与合同约定无关的端口，不存在与合同约定无关的进程。</w:t>
      </w:r>
    </w:p>
    <w:p w14:paraId="361EC593">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十六</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rPr>
        <w:t>本单位承诺未经贵公司同意不得以任何形式对提供给贵公司的产品或服务进行任何操作。本单位承诺严格按最小化原则管理相关产品或服务的操作权限并事先征得贵公司同意。</w:t>
      </w:r>
    </w:p>
    <w:p w14:paraId="500ABC6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十七、本单位承诺对提供给贵公司的产品或服务在交付前完成已知病毒查杀、安全缺陷</w:t>
      </w:r>
      <w:r>
        <w:rPr>
          <w:rFonts w:hint="eastAsia" w:asciiTheme="minorEastAsia" w:hAnsiTheme="minorEastAsia" w:eastAsiaTheme="minorEastAsia"/>
          <w:szCs w:val="21"/>
          <w:highlight w:val="none"/>
          <w:lang w:val="en-US" w:eastAsia="zh-CN"/>
        </w:rPr>
        <w:t>及</w:t>
      </w:r>
      <w:r>
        <w:rPr>
          <w:rFonts w:hint="eastAsia" w:asciiTheme="minorEastAsia" w:hAnsiTheme="minorEastAsia" w:eastAsiaTheme="minorEastAsia"/>
          <w:szCs w:val="21"/>
          <w:highlight w:val="none"/>
        </w:rPr>
        <w:t>漏洞扫描和修复，交付后对发现的安全缺陷、漏洞等风险及时采取补救措施。</w:t>
      </w:r>
    </w:p>
    <w:p w14:paraId="59634F79">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十八、本单位承诺无正当理由不会中断所提供的产品或服务，亦不会中断提供必要的技术支持服务。</w:t>
      </w:r>
    </w:p>
    <w:p w14:paraId="43C696EC">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十九、就本单位向贵公司提供的产品和服务，本单位承诺向贵公司提供该等产品或服务所包含或调用的开源软件和第三方软件清单，以及合法获取开源软件、第三方软件使用权的证明，并配合贵公司开展软件安全检测和知识产权风险审核等工作。</w:t>
      </w:r>
    </w:p>
    <w:p w14:paraId="3819E86B">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二十、本单位承诺同意并配合贵公司进行网络安全审查，检查的内容包括但不限于网络安全检查项、计算环境安全检查项、开发流程检查项、提供或委托处理数据的数据处理行为检查项等方面。</w:t>
      </w:r>
    </w:p>
    <w:p w14:paraId="2310F5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二十一、本单位承诺按要求提供网络安全审查工作需要的材料，严格履行网络安全审查中作出的承诺。</w:t>
      </w:r>
    </w:p>
    <w:p w14:paraId="63CCFF1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二</w:t>
      </w:r>
      <w:r>
        <w:rPr>
          <w:rFonts w:hint="eastAsia" w:asciiTheme="minorEastAsia" w:hAnsiTheme="minorEastAsia" w:eastAsiaTheme="minorEastAsia"/>
          <w:szCs w:val="21"/>
          <w:highlight w:val="none"/>
        </w:rPr>
        <w:t>、本单位如出现任何违反上述承诺的情况，</w:t>
      </w:r>
      <w:r>
        <w:rPr>
          <w:rFonts w:hint="eastAsia" w:asciiTheme="minorEastAsia" w:hAnsiTheme="minorEastAsia" w:eastAsiaTheme="minorEastAsia"/>
          <w:szCs w:val="21"/>
          <w:highlight w:val="none"/>
          <w:lang w:val="en-US" w:eastAsia="zh-CN"/>
        </w:rPr>
        <w:t>将</w:t>
      </w:r>
      <w:r>
        <w:rPr>
          <w:rFonts w:hint="eastAsia" w:asciiTheme="minorEastAsia" w:hAnsiTheme="minorEastAsia" w:eastAsiaTheme="minorEastAsia"/>
          <w:szCs w:val="21"/>
          <w:highlight w:val="none"/>
        </w:rPr>
        <w:t>依据合同承担责任，接受有关政府主管部门的处理（包括但不限于限期整改、公开曝光），并直接承担相应法律责任，造成财产损失的，由本单位直接赔偿。同时，贵公司有权在不通知本单位的情况下暂停履行合同直至解除合同并不承担任何责任，一切责任后果全部由本单位自行承担。给贵公司造成损失或不良影响的，本单位负责消除不良影响并赔偿贵公司相应损失。</w:t>
      </w:r>
    </w:p>
    <w:p w14:paraId="63D7EE47">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三</w:t>
      </w:r>
      <w:r>
        <w:rPr>
          <w:rFonts w:hint="eastAsia" w:asciiTheme="minorEastAsia" w:hAnsiTheme="minorEastAsia" w:eastAsiaTheme="minorEastAsia"/>
          <w:szCs w:val="21"/>
          <w:highlight w:val="none"/>
        </w:rPr>
        <w:t>、如出现任何违反上述承诺的情况引发的投诉、举报，由本单位负责解决并承担责任。当</w:t>
      </w:r>
      <w:r>
        <w:rPr>
          <w:rFonts w:hint="eastAsia" w:asciiTheme="minorEastAsia" w:hAnsiTheme="minorEastAsia" w:eastAsiaTheme="minorEastAsia"/>
          <w:szCs w:val="21"/>
          <w:highlight w:val="none"/>
          <w:lang w:val="en-US" w:eastAsia="zh-CN"/>
        </w:rPr>
        <w:t>接到</w:t>
      </w:r>
      <w:r>
        <w:rPr>
          <w:rFonts w:hint="eastAsia" w:asciiTheme="minorEastAsia" w:hAnsiTheme="minorEastAsia" w:eastAsiaTheme="minorEastAsia"/>
          <w:szCs w:val="21"/>
          <w:highlight w:val="none"/>
        </w:rPr>
        <w:t>通信主管部门、“12321网络不良与垃圾信息举报受理中心”、中国电信10000热线等各类渠道投诉、举报时，贵公司有权在不通知本单位的情况下立即终止合同并不承担任何责任，一切责任后果全部由本单位自行承担。给贵公司造成损失或不良影响的，本单位负责消除不良影响并赔偿贵公司相应损失。</w:t>
      </w:r>
    </w:p>
    <w:p w14:paraId="6A54BC28">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四</w:t>
      </w:r>
      <w:r>
        <w:rPr>
          <w:rFonts w:hint="eastAsia" w:asciiTheme="minorEastAsia" w:hAnsiTheme="minorEastAsia" w:eastAsiaTheme="minorEastAsia"/>
          <w:szCs w:val="21"/>
          <w:highlight w:val="none"/>
        </w:rPr>
        <w:t>、本单位</w:t>
      </w:r>
      <w:r>
        <w:rPr>
          <w:rFonts w:hint="eastAsia" w:asciiTheme="minorEastAsia" w:hAnsiTheme="minorEastAsia" w:eastAsiaTheme="minorEastAsia"/>
          <w:szCs w:val="21"/>
          <w:highlight w:val="none"/>
          <w:lang w:eastAsia="zh-CN"/>
        </w:rPr>
        <w:t>的</w:t>
      </w:r>
      <w:r>
        <w:rPr>
          <w:rFonts w:hint="eastAsia" w:asciiTheme="minorEastAsia" w:hAnsiTheme="minorEastAsia" w:eastAsiaTheme="minorEastAsia"/>
          <w:szCs w:val="21"/>
          <w:highlight w:val="none"/>
          <w:lang w:val="en-US" w:eastAsia="zh-CN"/>
        </w:rPr>
        <w:t>信息安全责任</w:t>
      </w:r>
      <w:r>
        <w:rPr>
          <w:rFonts w:hint="eastAsia" w:asciiTheme="minorEastAsia" w:hAnsiTheme="minorEastAsia" w:eastAsiaTheme="minorEastAsia"/>
          <w:szCs w:val="21"/>
          <w:highlight w:val="none"/>
        </w:rPr>
        <w:t>人如下：</w:t>
      </w:r>
    </w:p>
    <w:p w14:paraId="228F7FA0">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姓名：</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、职务：</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rPr>
        <w:t>、联系方式：</w:t>
      </w:r>
      <w:r>
        <w:rPr>
          <w:rFonts w:hint="eastAsia" w:asciiTheme="minorEastAsia" w:hAnsiTheme="minorEastAsia" w:eastAsiaTheme="minorEastAsia"/>
          <w:szCs w:val="21"/>
          <w:highlight w:val="none"/>
          <w:u w:val="single"/>
        </w:rPr>
        <w:t xml:space="preserve">                   </w:t>
      </w:r>
    </w:p>
    <w:p w14:paraId="6A5C066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五</w:t>
      </w:r>
      <w:r>
        <w:rPr>
          <w:rFonts w:hint="eastAsia" w:asciiTheme="minorEastAsia" w:hAnsiTheme="minorEastAsia" w:eastAsiaTheme="minorEastAsia"/>
          <w:szCs w:val="21"/>
          <w:highlight w:val="none"/>
        </w:rPr>
        <w:t>、本单位承诺要求并监督参与向贵公司提供产品或服务的本单位人员（“本单位人员”）履行本《网络及信息安全承诺书》项下的义务和责任，并对本单位人员的行为承担责任。</w:t>
      </w:r>
    </w:p>
    <w:p w14:paraId="6823272E">
      <w:pPr>
        <w:topLinePunct/>
        <w:snapToGrid w:val="0"/>
        <w:spacing w:line="400" w:lineRule="exact"/>
        <w:ind w:firstLine="420" w:firstLineChars="20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二十</w:t>
      </w:r>
      <w:r>
        <w:rPr>
          <w:rFonts w:hint="eastAsia" w:asciiTheme="minorEastAsia" w:hAnsiTheme="minorEastAsia" w:eastAsiaTheme="minorEastAsia"/>
          <w:szCs w:val="21"/>
          <w:highlight w:val="none"/>
          <w:lang w:val="en-US" w:eastAsia="zh-CN"/>
        </w:rPr>
        <w:t>六</w:t>
      </w:r>
      <w:r>
        <w:rPr>
          <w:rFonts w:hint="eastAsia" w:asciiTheme="minorEastAsia" w:hAnsiTheme="minorEastAsia" w:eastAsiaTheme="minorEastAsia"/>
          <w:szCs w:val="21"/>
          <w:highlight w:val="none"/>
        </w:rPr>
        <w:t>、本承诺书经本单位签署后</w:t>
      </w:r>
      <w:r>
        <w:rPr>
          <w:rFonts w:hint="eastAsia" w:asciiTheme="minorEastAsia" w:hAnsiTheme="minorEastAsia" w:eastAsiaTheme="minorEastAsia"/>
          <w:szCs w:val="21"/>
          <w:highlight w:val="none"/>
          <w:lang w:eastAsia="zh-CN"/>
        </w:rPr>
        <w:t>，</w:t>
      </w:r>
      <w:r>
        <w:rPr>
          <w:rFonts w:hint="eastAsia" w:asciiTheme="minorEastAsia" w:hAnsiTheme="minorEastAsia" w:eastAsiaTheme="minorEastAsia"/>
          <w:szCs w:val="21"/>
          <w:highlight w:val="none"/>
          <w:lang w:val="en-US" w:eastAsia="zh-CN"/>
        </w:rPr>
        <w:t>与合同同时</w:t>
      </w:r>
      <w:r>
        <w:rPr>
          <w:rFonts w:hint="eastAsia" w:asciiTheme="minorEastAsia" w:hAnsiTheme="minorEastAsia" w:eastAsiaTheme="minorEastAsia"/>
          <w:szCs w:val="21"/>
          <w:highlight w:val="none"/>
        </w:rPr>
        <w:t>生效。</w:t>
      </w:r>
    </w:p>
    <w:p w14:paraId="3C7C996A">
      <w:pPr>
        <w:pStyle w:val="80"/>
        <w:snapToGrid w:val="0"/>
        <w:spacing w:line="440" w:lineRule="exact"/>
        <w:ind w:firstLine="0" w:firstLineChars="0"/>
        <w:rPr>
          <w:rFonts w:asciiTheme="minorEastAsia" w:hAnsiTheme="minorEastAsia" w:eastAsiaTheme="minorEastAsia"/>
          <w:kern w:val="0"/>
          <w:szCs w:val="21"/>
          <w:highlight w:val="none"/>
        </w:rPr>
      </w:pPr>
    </w:p>
    <w:p w14:paraId="5A6F5F8F">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64496780">
      <w:pPr>
        <w:spacing w:line="440" w:lineRule="exact"/>
        <w:ind w:firstLine="1134" w:firstLineChars="540"/>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p>
    <w:p w14:paraId="50ED021E">
      <w:pPr>
        <w:spacing w:line="440" w:lineRule="exact"/>
        <w:ind w:left="0" w:leftChars="0" w:firstLine="1058" w:firstLineChars="504"/>
        <w:jc w:val="left"/>
        <w:rPr>
          <w:rFonts w:asciiTheme="minorEastAsia" w:hAnsiTheme="minorEastAsia" w:eastAsiaTheme="minorEastAsia"/>
          <w:szCs w:val="21"/>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872C160">
      <w:pPr>
        <w:snapToGrid w:val="0"/>
        <w:spacing w:line="440" w:lineRule="exact"/>
        <w:ind w:firstLine="420" w:firstLineChars="200"/>
        <w:rPr>
          <w:rFonts w:hint="eastAsia" w:asciiTheme="minorEastAsia" w:hAnsiTheme="minorEastAsia" w:eastAsiaTheme="minorEastAsia" w:cstheme="minorEastAsia"/>
          <w:highlight w:val="none"/>
        </w:rPr>
      </w:pPr>
    </w:p>
    <w:p w14:paraId="7520E62B">
      <w:pPr>
        <w:snapToGrid w:val="0"/>
        <w:spacing w:line="440" w:lineRule="exact"/>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rPr>
        <w:t>编制要求：</w:t>
      </w:r>
    </w:p>
    <w:p w14:paraId="67F06EE7">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的，制造商和代理商须各自提供一份本承诺函。</w:t>
      </w:r>
    </w:p>
    <w:p w14:paraId="6C7388C4">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lang w:eastAsia="zh-CN"/>
        </w:rPr>
        <w:t>产品</w:t>
      </w:r>
      <w:r>
        <w:rPr>
          <w:rFonts w:hint="eastAsia" w:asciiTheme="minorEastAsia" w:hAnsiTheme="minorEastAsia" w:eastAsiaTheme="minorEastAsia"/>
          <w:szCs w:val="21"/>
          <w:highlight w:val="none"/>
        </w:rPr>
        <w:t>制造商注册地在中华人民共和国境外（与中华人民共和国有正常贸易与往来的国家或地区）及香港、澳门、台湾地区使用代理商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和签订销售合同且制造商无法加盖单位公章的，本文件应由有签署权的代表签字确认，并提供委托签署权的相关证明材料。</w:t>
      </w:r>
    </w:p>
    <w:p w14:paraId="04B20B9A">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3.除本文件允许</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进行填写的内容以外，</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不得对本文件进行修改。</w:t>
      </w:r>
    </w:p>
    <w:p w14:paraId="39EAD489">
      <w:pPr>
        <w:snapToGrid w:val="0"/>
        <w:spacing w:line="440" w:lineRule="exact"/>
        <w:rPr>
          <w:rFonts w:asciiTheme="minorEastAsia" w:hAnsiTheme="minorEastAsia" w:eastAsiaTheme="minorEastAsia"/>
          <w:szCs w:val="21"/>
          <w:highlight w:val="none"/>
        </w:rPr>
      </w:pPr>
    </w:p>
    <w:p w14:paraId="1DC63EE1">
      <w:pPr>
        <w:widowControl/>
        <w:jc w:val="left"/>
        <w:rPr>
          <w:rFonts w:asciiTheme="minorEastAsia" w:hAnsiTheme="minorEastAsia" w:eastAsiaTheme="minorEastAsia"/>
          <w:b/>
          <w:bCs/>
          <w:sz w:val="24"/>
          <w:highlight w:val="none"/>
        </w:rPr>
      </w:pPr>
      <w:bookmarkStart w:id="2025" w:name="_Toc106784694"/>
      <w:r>
        <w:rPr>
          <w:rFonts w:asciiTheme="minorEastAsia" w:hAnsiTheme="minorEastAsia" w:eastAsiaTheme="minorEastAsia"/>
          <w:sz w:val="24"/>
          <w:highlight w:val="none"/>
        </w:rPr>
        <w:br w:type="page"/>
      </w:r>
    </w:p>
    <w:p w14:paraId="38C87DDA">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026" w:name="_Toc18317"/>
      <w:bookmarkStart w:id="2027" w:name="_Toc30291"/>
      <w:bookmarkStart w:id="2028" w:name="_Toc19184"/>
      <w:bookmarkStart w:id="2029" w:name="_Toc32082"/>
      <w:bookmarkStart w:id="2030" w:name="_Toc21966"/>
      <w:bookmarkStart w:id="2031" w:name="_Toc17440"/>
      <w:bookmarkStart w:id="2032" w:name="_Toc14427"/>
      <w:bookmarkStart w:id="2033" w:name="_Toc31276"/>
      <w:bookmarkStart w:id="2034" w:name="_Toc18654"/>
      <w:bookmarkStart w:id="2035" w:name="_Toc7282"/>
      <w:bookmarkStart w:id="2036" w:name="_Toc27175"/>
      <w:bookmarkStart w:id="2037" w:name="_Toc2085"/>
      <w:bookmarkStart w:id="2038" w:name="_Toc27121"/>
      <w:r>
        <w:rPr>
          <w:rFonts w:hint="eastAsia" w:cs="Times New Roman" w:asciiTheme="minorEastAsia" w:hAnsiTheme="minorEastAsia" w:eastAsiaTheme="minorEastAsia"/>
          <w:b/>
          <w:bCs/>
          <w:kern w:val="2"/>
          <w:sz w:val="24"/>
          <w:szCs w:val="24"/>
          <w:lang w:val="en-US" w:eastAsia="zh-CN" w:bidi="ar-SA"/>
        </w:rPr>
        <w:t>18.</w:t>
      </w:r>
      <w:r>
        <w:rPr>
          <w:rFonts w:hint="eastAsia" w:asciiTheme="minorEastAsia" w:hAnsiTheme="minorEastAsia" w:eastAsiaTheme="minorEastAsia"/>
          <w:sz w:val="24"/>
          <w:szCs w:val="24"/>
          <w:highlight w:val="none"/>
        </w:rPr>
        <w:t>开源软件、第三方软件清单及合法获取开源软件、第三方软件使用权的证明</w:t>
      </w:r>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p>
    <w:p w14:paraId="63622710">
      <w:pPr>
        <w:pStyle w:val="48"/>
        <w:ind w:firstLine="0" w:firstLineChars="0"/>
        <w:jc w:val="left"/>
        <w:rPr>
          <w:rFonts w:asciiTheme="minorEastAsia" w:hAnsiTheme="minorEastAsia" w:eastAsiaTheme="minorEastAsia"/>
          <w:highlight w:val="none"/>
        </w:rPr>
      </w:pPr>
      <w:r>
        <w:rPr>
          <w:rFonts w:hint="eastAsia" w:asciiTheme="minorEastAsia" w:hAnsiTheme="minorEastAsia" w:eastAsiaTheme="minorEastAsia"/>
          <w:b/>
          <w:highlight w:val="none"/>
        </w:rPr>
        <w:t>[与《网络</w:t>
      </w:r>
      <w:r>
        <w:rPr>
          <w:rFonts w:hint="eastAsia" w:asciiTheme="minorEastAsia" w:hAnsiTheme="minorEastAsia" w:eastAsiaTheme="minorEastAsia"/>
          <w:b/>
          <w:highlight w:val="none"/>
          <w:lang w:val="en-US" w:eastAsia="zh-CN"/>
        </w:rPr>
        <w:t>及</w:t>
      </w:r>
      <w:r>
        <w:rPr>
          <w:rFonts w:hint="eastAsia" w:asciiTheme="minorEastAsia" w:hAnsiTheme="minorEastAsia" w:eastAsiaTheme="minorEastAsia"/>
          <w:b/>
          <w:highlight w:val="none"/>
        </w:rPr>
        <w:t>信息安全承诺书》同步使用，软件类采购应当使用，使用本文件的应作为采购合同的附件]</w:t>
      </w:r>
    </w:p>
    <w:p w14:paraId="50B64A5B">
      <w:pPr>
        <w:rPr>
          <w:highlight w:val="none"/>
        </w:rPr>
      </w:pPr>
    </w:p>
    <w:p w14:paraId="549221CF">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开源软件、第三方软件清单及合规使用权证明</w:t>
      </w:r>
    </w:p>
    <w:p w14:paraId="3A95D850">
      <w:pPr>
        <w:pStyle w:val="48"/>
        <w:ind w:firstLine="0" w:firstLineChars="0"/>
        <w:jc w:val="center"/>
        <w:rPr>
          <w:rFonts w:asciiTheme="minorEastAsia" w:hAnsiTheme="minorEastAsia" w:eastAsiaTheme="minorEastAsia"/>
          <w:b/>
          <w:sz w:val="24"/>
          <w:highlight w:val="none"/>
        </w:rPr>
      </w:pPr>
    </w:p>
    <w:tbl>
      <w:tblPr>
        <w:tblStyle w:val="40"/>
        <w:tblW w:w="8317" w:type="dxa"/>
        <w:tblInd w:w="4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1601"/>
        <w:gridCol w:w="2476"/>
        <w:gridCol w:w="1968"/>
        <w:gridCol w:w="1578"/>
      </w:tblGrid>
      <w:tr w14:paraId="00D4B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94" w:type="dxa"/>
            <w:vAlign w:val="center"/>
          </w:tcPr>
          <w:p w14:paraId="4F734B9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序号</w:t>
            </w:r>
          </w:p>
        </w:tc>
        <w:tc>
          <w:tcPr>
            <w:tcW w:w="1601" w:type="dxa"/>
            <w:vAlign w:val="center"/>
          </w:tcPr>
          <w:p w14:paraId="0B4E216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软件名称</w:t>
            </w:r>
          </w:p>
        </w:tc>
        <w:tc>
          <w:tcPr>
            <w:tcW w:w="2476" w:type="dxa"/>
            <w:vAlign w:val="center"/>
          </w:tcPr>
          <w:p w14:paraId="75492024">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软件类型</w:t>
            </w:r>
          </w:p>
        </w:tc>
        <w:tc>
          <w:tcPr>
            <w:tcW w:w="1968" w:type="dxa"/>
          </w:tcPr>
          <w:p w14:paraId="5D917412">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合法获取开源软件、第三方软件使用权的证明材料</w:t>
            </w:r>
          </w:p>
        </w:tc>
        <w:tc>
          <w:tcPr>
            <w:tcW w:w="1578" w:type="dxa"/>
            <w:vAlign w:val="center"/>
          </w:tcPr>
          <w:p w14:paraId="59FE4985">
            <w:pPr>
              <w:snapToGrid w:val="0"/>
              <w:jc w:val="center"/>
              <w:rPr>
                <w:rFonts w:cs="宋体" w:asciiTheme="minorEastAsia" w:hAnsiTheme="minorEastAsia" w:eastAsiaTheme="minorEastAsia"/>
                <w:b/>
                <w:kern w:val="0"/>
                <w:sz w:val="20"/>
                <w:szCs w:val="21"/>
                <w:highlight w:val="none"/>
              </w:rPr>
            </w:pPr>
            <w:r>
              <w:rPr>
                <w:rFonts w:hint="eastAsia" w:cs="宋体" w:asciiTheme="minorEastAsia" w:hAnsiTheme="minorEastAsia" w:eastAsiaTheme="minorEastAsia"/>
                <w:b/>
                <w:kern w:val="0"/>
                <w:sz w:val="20"/>
                <w:szCs w:val="21"/>
                <w:highlight w:val="none"/>
              </w:rPr>
              <w:t>证明材料所在页码</w:t>
            </w:r>
          </w:p>
        </w:tc>
      </w:tr>
      <w:tr w14:paraId="78848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694" w:type="dxa"/>
            <w:vAlign w:val="center"/>
          </w:tcPr>
          <w:p w14:paraId="6A59A685">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1</w:t>
            </w:r>
          </w:p>
        </w:tc>
        <w:tc>
          <w:tcPr>
            <w:tcW w:w="1601" w:type="dxa"/>
            <w:vAlign w:val="center"/>
          </w:tcPr>
          <w:p w14:paraId="4FB79609">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544094ED">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开源软件或第三方软件</w:t>
            </w:r>
          </w:p>
        </w:tc>
        <w:tc>
          <w:tcPr>
            <w:tcW w:w="1968" w:type="dxa"/>
            <w:vAlign w:val="center"/>
          </w:tcPr>
          <w:p w14:paraId="7A37D980">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开源许可协议及其说明；或第三方软件许可文件</w:t>
            </w:r>
          </w:p>
        </w:tc>
        <w:tc>
          <w:tcPr>
            <w:tcW w:w="1578" w:type="dxa"/>
            <w:vAlign w:val="center"/>
          </w:tcPr>
          <w:p w14:paraId="353C0CB5">
            <w:pPr>
              <w:snapToGrid w:val="0"/>
              <w:jc w:val="center"/>
              <w:rPr>
                <w:rFonts w:cs="宋体" w:asciiTheme="minorEastAsia" w:hAnsiTheme="minorEastAsia" w:eastAsiaTheme="minorEastAsia"/>
                <w:kern w:val="0"/>
                <w:sz w:val="20"/>
                <w:szCs w:val="21"/>
                <w:highlight w:val="none"/>
              </w:rPr>
            </w:pPr>
          </w:p>
        </w:tc>
      </w:tr>
      <w:tr w14:paraId="08234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94" w:type="dxa"/>
            <w:vAlign w:val="center"/>
          </w:tcPr>
          <w:p w14:paraId="28CA6288">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2</w:t>
            </w:r>
          </w:p>
        </w:tc>
        <w:tc>
          <w:tcPr>
            <w:tcW w:w="1601" w:type="dxa"/>
            <w:vAlign w:val="center"/>
          </w:tcPr>
          <w:p w14:paraId="5D384D2F">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60DD2E04">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5173A331">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0152E3EE">
            <w:pPr>
              <w:snapToGrid w:val="0"/>
              <w:jc w:val="center"/>
              <w:rPr>
                <w:rFonts w:cs="宋体" w:asciiTheme="minorEastAsia" w:hAnsiTheme="minorEastAsia" w:eastAsiaTheme="minorEastAsia"/>
                <w:kern w:val="0"/>
                <w:sz w:val="20"/>
                <w:szCs w:val="21"/>
                <w:highlight w:val="none"/>
              </w:rPr>
            </w:pPr>
          </w:p>
        </w:tc>
      </w:tr>
      <w:tr w14:paraId="5F91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94" w:type="dxa"/>
            <w:vAlign w:val="center"/>
          </w:tcPr>
          <w:p w14:paraId="2B2D35EB">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3</w:t>
            </w:r>
          </w:p>
        </w:tc>
        <w:tc>
          <w:tcPr>
            <w:tcW w:w="1601" w:type="dxa"/>
            <w:vAlign w:val="center"/>
          </w:tcPr>
          <w:p w14:paraId="0C84F03D">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724E05E0">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3230605F">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27766A33">
            <w:pPr>
              <w:snapToGrid w:val="0"/>
              <w:jc w:val="center"/>
              <w:rPr>
                <w:rFonts w:cs="宋体" w:asciiTheme="minorEastAsia" w:hAnsiTheme="minorEastAsia" w:eastAsiaTheme="minorEastAsia"/>
                <w:kern w:val="0"/>
                <w:sz w:val="20"/>
                <w:szCs w:val="21"/>
                <w:highlight w:val="none"/>
              </w:rPr>
            </w:pPr>
          </w:p>
        </w:tc>
      </w:tr>
      <w:tr w14:paraId="4696B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694" w:type="dxa"/>
            <w:vAlign w:val="center"/>
          </w:tcPr>
          <w:p w14:paraId="49826AEA">
            <w:pPr>
              <w:snapToGrid w:val="0"/>
              <w:jc w:val="center"/>
              <w:rPr>
                <w:rFonts w:cs="宋体" w:asciiTheme="minorEastAsia" w:hAnsiTheme="minorEastAsia" w:eastAsiaTheme="minorEastAsia"/>
                <w:kern w:val="0"/>
                <w:sz w:val="20"/>
                <w:szCs w:val="21"/>
                <w:highlight w:val="none"/>
              </w:rPr>
            </w:pPr>
            <w:r>
              <w:rPr>
                <w:rFonts w:hint="eastAsia" w:cs="宋体" w:asciiTheme="minorEastAsia" w:hAnsiTheme="minorEastAsia" w:eastAsiaTheme="minorEastAsia"/>
                <w:kern w:val="0"/>
                <w:sz w:val="20"/>
                <w:szCs w:val="21"/>
                <w:highlight w:val="none"/>
              </w:rPr>
              <w:t>……</w:t>
            </w:r>
          </w:p>
        </w:tc>
        <w:tc>
          <w:tcPr>
            <w:tcW w:w="1601" w:type="dxa"/>
            <w:vAlign w:val="center"/>
          </w:tcPr>
          <w:p w14:paraId="3822D0BB">
            <w:pPr>
              <w:snapToGrid w:val="0"/>
              <w:jc w:val="center"/>
              <w:rPr>
                <w:rFonts w:cs="宋体" w:asciiTheme="minorEastAsia" w:hAnsiTheme="minorEastAsia" w:eastAsiaTheme="minorEastAsia"/>
                <w:kern w:val="0"/>
                <w:sz w:val="20"/>
                <w:szCs w:val="21"/>
                <w:highlight w:val="none"/>
              </w:rPr>
            </w:pPr>
          </w:p>
        </w:tc>
        <w:tc>
          <w:tcPr>
            <w:tcW w:w="2476" w:type="dxa"/>
            <w:vAlign w:val="center"/>
          </w:tcPr>
          <w:p w14:paraId="710BBABA">
            <w:pPr>
              <w:snapToGrid w:val="0"/>
              <w:jc w:val="center"/>
              <w:rPr>
                <w:rFonts w:cs="宋体" w:asciiTheme="minorEastAsia" w:hAnsiTheme="minorEastAsia" w:eastAsiaTheme="minorEastAsia"/>
                <w:kern w:val="0"/>
                <w:sz w:val="20"/>
                <w:szCs w:val="21"/>
                <w:highlight w:val="none"/>
              </w:rPr>
            </w:pPr>
          </w:p>
        </w:tc>
        <w:tc>
          <w:tcPr>
            <w:tcW w:w="1968" w:type="dxa"/>
            <w:vAlign w:val="center"/>
          </w:tcPr>
          <w:p w14:paraId="76FCB1D0">
            <w:pPr>
              <w:snapToGrid w:val="0"/>
              <w:jc w:val="center"/>
              <w:rPr>
                <w:rFonts w:cs="宋体" w:asciiTheme="minorEastAsia" w:hAnsiTheme="minorEastAsia" w:eastAsiaTheme="minorEastAsia"/>
                <w:kern w:val="0"/>
                <w:sz w:val="20"/>
                <w:szCs w:val="21"/>
                <w:highlight w:val="none"/>
              </w:rPr>
            </w:pPr>
          </w:p>
        </w:tc>
        <w:tc>
          <w:tcPr>
            <w:tcW w:w="1578" w:type="dxa"/>
            <w:vAlign w:val="center"/>
          </w:tcPr>
          <w:p w14:paraId="5FCE88CD">
            <w:pPr>
              <w:snapToGrid w:val="0"/>
              <w:jc w:val="center"/>
              <w:rPr>
                <w:rFonts w:cs="宋体" w:asciiTheme="minorEastAsia" w:hAnsiTheme="minorEastAsia" w:eastAsiaTheme="minorEastAsia"/>
                <w:kern w:val="0"/>
                <w:sz w:val="20"/>
                <w:szCs w:val="21"/>
                <w:highlight w:val="none"/>
              </w:rPr>
            </w:pPr>
          </w:p>
        </w:tc>
      </w:tr>
    </w:tbl>
    <w:p w14:paraId="7BCE5DFA">
      <w:pPr>
        <w:rPr>
          <w:highlight w:val="none"/>
        </w:rPr>
      </w:pPr>
    </w:p>
    <w:p w14:paraId="2700B379">
      <w:pPr>
        <w:pStyle w:val="89"/>
        <w:snapToGrid w:val="0"/>
        <w:spacing w:line="440" w:lineRule="exact"/>
        <w:ind w:firstLine="411" w:firstLineChars="196"/>
        <w:rPr>
          <w:rFonts w:asciiTheme="minorEastAsia" w:hAnsiTheme="minorEastAsia" w:eastAsiaTheme="minorEastAsia"/>
          <w:kern w:val="0"/>
          <w:szCs w:val="21"/>
          <w:highlight w:val="none"/>
        </w:rPr>
      </w:pPr>
    </w:p>
    <w:p w14:paraId="334E947B">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kern w:val="0"/>
          <w:szCs w:val="21"/>
          <w:highlight w:val="none"/>
          <w:u w:val="single"/>
        </w:rPr>
        <w:t xml:space="preserve">　　　　　　　　                  </w:t>
      </w:r>
    </w:p>
    <w:p w14:paraId="6975852C">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6EBAF56B">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7ECD55FB">
      <w:pPr>
        <w:rPr>
          <w:highlight w:val="none"/>
        </w:rPr>
      </w:pPr>
    </w:p>
    <w:p w14:paraId="72B98664">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79A30EE7">
      <w:pPr>
        <w:numPr>
          <w:ilvl w:val="0"/>
          <w:numId w:val="16"/>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rPr>
        <w:t>应提供合法获取开源软件、第三方软件（含开发环境和开发平台）使用权的证明，证明文件顺序应与清单一一对应。</w:t>
      </w:r>
    </w:p>
    <w:p w14:paraId="618C31E5">
      <w:pPr>
        <w:numPr>
          <w:ilvl w:val="0"/>
          <w:numId w:val="16"/>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szCs w:val="21"/>
          <w:highlight w:val="none"/>
        </w:rPr>
        <w:t>代理商</w:t>
      </w:r>
      <w:r>
        <w:rPr>
          <w:rFonts w:hint="eastAsia" w:asciiTheme="minorEastAsia" w:hAnsiTheme="minorEastAsia" w:eastAsiaTheme="minorEastAsia"/>
          <w:szCs w:val="21"/>
          <w:highlight w:val="none"/>
          <w:lang w:eastAsia="zh-CN"/>
        </w:rPr>
        <w:t>响应</w:t>
      </w:r>
      <w:r>
        <w:rPr>
          <w:rFonts w:hint="eastAsia" w:asciiTheme="minorEastAsia" w:hAnsiTheme="minorEastAsia" w:eastAsiaTheme="minorEastAsia"/>
          <w:szCs w:val="21"/>
          <w:highlight w:val="none"/>
        </w:rPr>
        <w:t>的，制造商和代理商须各自提供一份本文件。</w:t>
      </w:r>
    </w:p>
    <w:p w14:paraId="32BCD5A6">
      <w:pPr>
        <w:numPr>
          <w:ilvl w:val="0"/>
          <w:numId w:val="16"/>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lang w:eastAsia="zh-CN"/>
        </w:rPr>
        <w:t>供应商</w:t>
      </w:r>
      <w:r>
        <w:rPr>
          <w:rFonts w:hint="eastAsia" w:asciiTheme="minorEastAsia" w:hAnsiTheme="minorEastAsia" w:eastAsiaTheme="minorEastAsia"/>
          <w:highlight w:val="none"/>
        </w:rPr>
        <w:t>可以根据实际情况对本文件进行调整和修改，但应满足</w:t>
      </w:r>
      <w:r>
        <w:rPr>
          <w:rFonts w:hint="eastAsia" w:asciiTheme="minorEastAsia" w:hAnsiTheme="minorEastAsia" w:eastAsiaTheme="minorEastAsia"/>
          <w:highlight w:val="none"/>
          <w:lang w:eastAsia="zh-CN"/>
        </w:rPr>
        <w:t>询比文件</w:t>
      </w:r>
      <w:r>
        <w:rPr>
          <w:rFonts w:hint="eastAsia" w:asciiTheme="minorEastAsia" w:hAnsiTheme="minorEastAsia" w:eastAsiaTheme="minorEastAsia"/>
          <w:highlight w:val="none"/>
        </w:rPr>
        <w:t>对本文件的要求。</w:t>
      </w:r>
    </w:p>
    <w:p w14:paraId="0F4573EB">
      <w:pPr>
        <w:rPr>
          <w:highlight w:val="none"/>
        </w:rPr>
      </w:pPr>
    </w:p>
    <w:p w14:paraId="5F94AB13">
      <w:pPr>
        <w:rPr>
          <w:highlight w:val="none"/>
        </w:rPr>
      </w:pPr>
    </w:p>
    <w:p w14:paraId="030C9D53">
      <w:pPr>
        <w:widowControl/>
        <w:jc w:val="left"/>
        <w:rPr>
          <w:rFonts w:asciiTheme="minorEastAsia" w:hAnsiTheme="minorEastAsia" w:eastAsiaTheme="minorEastAsia"/>
          <w:b/>
          <w:bCs/>
          <w:sz w:val="24"/>
          <w:highlight w:val="none"/>
        </w:rPr>
      </w:pPr>
      <w:r>
        <w:rPr>
          <w:rFonts w:asciiTheme="minorEastAsia" w:hAnsiTheme="minorEastAsia" w:eastAsiaTheme="minorEastAsia"/>
          <w:sz w:val="24"/>
          <w:highlight w:val="none"/>
        </w:rPr>
        <w:br w:type="page"/>
      </w:r>
    </w:p>
    <w:bookmarkEnd w:id="2019"/>
    <w:p w14:paraId="2C9318C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039" w:name="_Toc22663"/>
      <w:bookmarkStart w:id="2040" w:name="_Toc6456"/>
      <w:bookmarkStart w:id="2041" w:name="_Toc22232"/>
      <w:bookmarkStart w:id="2042" w:name="_Toc1064"/>
      <w:bookmarkStart w:id="2043" w:name="_Toc16591"/>
      <w:bookmarkStart w:id="2044" w:name="_Toc10050"/>
      <w:bookmarkStart w:id="2045" w:name="_Toc16947"/>
      <w:bookmarkStart w:id="2046" w:name="_Toc27008"/>
      <w:bookmarkStart w:id="2047" w:name="_Toc16458"/>
      <w:bookmarkStart w:id="2048" w:name="_Toc4325"/>
      <w:bookmarkStart w:id="2049" w:name="_Toc20622"/>
      <w:bookmarkStart w:id="2050" w:name="_Toc16626"/>
      <w:r>
        <w:rPr>
          <w:rFonts w:hint="eastAsia" w:cs="Times New Roman" w:asciiTheme="minorEastAsia" w:hAnsiTheme="minorEastAsia" w:eastAsiaTheme="minorEastAsia"/>
          <w:b/>
          <w:bCs/>
          <w:kern w:val="2"/>
          <w:sz w:val="24"/>
          <w:szCs w:val="24"/>
          <w:lang w:val="en-US" w:eastAsia="zh-CN" w:bidi="ar-SA"/>
        </w:rPr>
        <w:t>19.</w:t>
      </w:r>
      <w:r>
        <w:rPr>
          <w:rFonts w:hint="eastAsia" w:asciiTheme="minorEastAsia" w:hAnsiTheme="minorEastAsia" w:eastAsiaTheme="minorEastAsia"/>
          <w:sz w:val="24"/>
          <w:szCs w:val="24"/>
          <w:highlight w:val="none"/>
          <w:lang w:eastAsia="zh-CN"/>
        </w:rPr>
        <w:t>响应</w:t>
      </w:r>
      <w:r>
        <w:rPr>
          <w:rFonts w:hint="eastAsia" w:asciiTheme="minorEastAsia" w:hAnsiTheme="minorEastAsia" w:eastAsiaTheme="minorEastAsia"/>
          <w:sz w:val="24"/>
          <w:szCs w:val="24"/>
          <w:highlight w:val="none"/>
        </w:rPr>
        <w:t>保函</w:t>
      </w:r>
      <w:bookmarkEnd w:id="2039"/>
      <w:bookmarkEnd w:id="2040"/>
      <w:bookmarkEnd w:id="2041"/>
      <w:bookmarkEnd w:id="2042"/>
      <w:bookmarkEnd w:id="2043"/>
      <w:bookmarkEnd w:id="2044"/>
      <w:bookmarkEnd w:id="2045"/>
      <w:bookmarkEnd w:id="2046"/>
      <w:bookmarkEnd w:id="2047"/>
      <w:bookmarkEnd w:id="2048"/>
      <w:bookmarkEnd w:id="2049"/>
      <w:bookmarkEnd w:id="2050"/>
    </w:p>
    <w:p w14:paraId="558F1671">
      <w:pPr>
        <w:ind w:firstLine="562"/>
        <w:jc w:val="center"/>
        <w:rPr>
          <w:rFonts w:asciiTheme="minorEastAsia" w:hAnsiTheme="minorEastAsia" w:eastAsiaTheme="minorEastAsia"/>
          <w:b/>
          <w:sz w:val="24"/>
          <w:szCs w:val="30"/>
          <w:highlight w:val="none"/>
        </w:rPr>
      </w:pPr>
      <w:bookmarkStart w:id="2051" w:name="_Toc297638737"/>
      <w:r>
        <w:rPr>
          <w:rFonts w:hint="eastAsia" w:asciiTheme="minorEastAsia" w:hAnsiTheme="minorEastAsia" w:eastAsiaTheme="minorEastAsia"/>
          <w:b/>
          <w:sz w:val="24"/>
          <w:szCs w:val="30"/>
          <w:highlight w:val="none"/>
          <w:lang w:eastAsia="zh-CN"/>
        </w:rPr>
        <w:t>响应</w:t>
      </w:r>
      <w:r>
        <w:rPr>
          <w:rFonts w:hint="eastAsia" w:asciiTheme="minorEastAsia" w:hAnsiTheme="minorEastAsia" w:eastAsiaTheme="minorEastAsia"/>
          <w:b/>
          <w:sz w:val="24"/>
          <w:szCs w:val="30"/>
          <w:highlight w:val="none"/>
        </w:rPr>
        <w:t>保函</w:t>
      </w:r>
      <w:bookmarkEnd w:id="2051"/>
    </w:p>
    <w:p w14:paraId="25B7BCD7">
      <w:pPr>
        <w:ind w:firstLine="560"/>
        <w:jc w:val="center"/>
        <w:rPr>
          <w:rFonts w:asciiTheme="minorEastAsia" w:hAnsiTheme="minorEastAsia" w:eastAsiaTheme="minorEastAsia"/>
          <w:szCs w:val="21"/>
          <w:highlight w:val="none"/>
        </w:rPr>
      </w:pPr>
    </w:p>
    <w:p w14:paraId="27E92C8E">
      <w:pPr>
        <w:snapToGrid w:val="0"/>
        <w:spacing w:line="360" w:lineRule="auto"/>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致：</w:t>
      </w:r>
      <w:r>
        <w:rPr>
          <w:rFonts w:hint="eastAsia" w:asciiTheme="minorEastAsia" w:hAnsiTheme="minorEastAsia" w:eastAsiaTheme="minorEastAsia"/>
          <w:szCs w:val="21"/>
          <w:highlight w:val="none"/>
          <w:u w:val="single"/>
        </w:rPr>
        <w:t xml:space="preserve">          （受益人）</w:t>
      </w:r>
    </w:p>
    <w:p w14:paraId="3C4580A1">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本保函作为</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供应商</w:t>
      </w:r>
      <w:r>
        <w:rPr>
          <w:rFonts w:hint="eastAsia" w:asciiTheme="minorEastAsia" w:hAnsiTheme="minorEastAsia" w:eastAsiaTheme="minorEastAsia"/>
          <w:szCs w:val="21"/>
          <w:highlight w:val="none"/>
          <w:u w:val="single"/>
        </w:rPr>
        <w:t>名称）</w:t>
      </w:r>
      <w:r>
        <w:rPr>
          <w:rFonts w:hint="eastAsia" w:asciiTheme="minorEastAsia" w:hAnsiTheme="minorEastAsia" w:eastAsiaTheme="minorEastAsia"/>
          <w:szCs w:val="21"/>
          <w:highlight w:val="none"/>
        </w:rPr>
        <w:t>（以下简称</w:t>
      </w:r>
      <w:r>
        <w:rPr>
          <w:rFonts w:hint="eastAsia" w:asciiTheme="minorEastAsia" w:hAnsiTheme="minorEastAsia" w:eastAsiaTheme="minorEastAsia"/>
          <w:szCs w:val="21"/>
          <w:highlight w:val="none"/>
          <w:lang w:eastAsia="zh-CN"/>
        </w:rPr>
        <w:t>供应商</w:t>
      </w:r>
      <w:r>
        <w:rPr>
          <w:rFonts w:hint="eastAsia" w:asciiTheme="minorEastAsia" w:hAnsiTheme="minorEastAsia" w:eastAsiaTheme="minorEastAsia"/>
          <w:szCs w:val="21"/>
          <w:highlight w:val="none"/>
        </w:rPr>
        <w:t>）对</w:t>
      </w:r>
      <w:r>
        <w:rPr>
          <w:rFonts w:hint="eastAsia" w:asciiTheme="minorEastAsia" w:hAnsiTheme="minorEastAsia" w:eastAsiaTheme="minorEastAsia"/>
          <w:szCs w:val="21"/>
          <w:highlight w:val="none"/>
          <w:u w:val="single"/>
        </w:rPr>
        <w:t xml:space="preserve">        （</w:t>
      </w:r>
      <w:r>
        <w:rPr>
          <w:rFonts w:hint="eastAsia" w:asciiTheme="minorEastAsia" w:hAnsiTheme="minorEastAsia" w:eastAsiaTheme="minorEastAsia"/>
          <w:szCs w:val="21"/>
          <w:highlight w:val="none"/>
          <w:u w:val="single"/>
          <w:lang w:eastAsia="zh-CN"/>
        </w:rPr>
        <w:t>采购人</w:t>
      </w:r>
      <w:r>
        <w:rPr>
          <w:rFonts w:hint="eastAsia" w:asciiTheme="minorEastAsia" w:hAnsiTheme="minorEastAsia" w:eastAsiaTheme="minorEastAsia"/>
          <w:szCs w:val="21"/>
          <w:highlight w:val="none"/>
          <w:u w:val="single"/>
        </w:rPr>
        <w:t>名称）（项目名称）</w:t>
      </w:r>
      <w:r>
        <w:rPr>
          <w:rFonts w:hint="eastAsia" w:asciiTheme="minorEastAsia" w:hAnsiTheme="minorEastAsia" w:eastAsiaTheme="minorEastAsia"/>
          <w:szCs w:val="21"/>
          <w:highlight w:val="none"/>
        </w:rPr>
        <w:t>的</w:t>
      </w:r>
      <w:r>
        <w:rPr>
          <w:rFonts w:hint="eastAsia" w:asciiTheme="minorEastAsia" w:hAnsiTheme="minorEastAsia" w:eastAsiaTheme="minorEastAsia"/>
          <w:szCs w:val="21"/>
          <w:highlight w:val="none"/>
          <w:lang w:val="en-US" w:eastAsia="zh-CN"/>
        </w:rPr>
        <w:t>询比</w:t>
      </w:r>
      <w:r>
        <w:rPr>
          <w:rFonts w:hint="eastAsia" w:asciiTheme="minorEastAsia" w:hAnsiTheme="minorEastAsia" w:eastAsiaTheme="minorEastAsia"/>
          <w:szCs w:val="21"/>
          <w:highlight w:val="none"/>
        </w:rPr>
        <w:t>邀请而提供的</w:t>
      </w:r>
      <w:r>
        <w:rPr>
          <w:rFonts w:hint="eastAsia" w:asciiTheme="minorEastAsia" w:hAnsiTheme="minorEastAsia" w:eastAsiaTheme="minorEastAsia"/>
          <w:szCs w:val="21"/>
          <w:highlight w:val="none"/>
          <w:lang w:val="en-US" w:eastAsia="zh-CN"/>
        </w:rPr>
        <w:t>响应</w:t>
      </w:r>
      <w:r>
        <w:rPr>
          <w:rFonts w:hint="eastAsia" w:asciiTheme="minorEastAsia" w:hAnsiTheme="minorEastAsia" w:eastAsiaTheme="minorEastAsia"/>
          <w:szCs w:val="21"/>
          <w:highlight w:val="none"/>
        </w:rPr>
        <w:t>保函。</w:t>
      </w:r>
    </w:p>
    <w:p w14:paraId="71544748">
      <w:pPr>
        <w:snapToGrid w:val="0"/>
        <w:spacing w:line="360" w:lineRule="auto"/>
        <w:ind w:firstLine="424" w:firstLineChars="202"/>
        <w:rPr>
          <w:rFonts w:asciiTheme="minorEastAsia" w:hAnsiTheme="minorEastAsia" w:eastAsiaTheme="minorEastAsia"/>
          <w:szCs w:val="21"/>
          <w:highlight w:val="none"/>
        </w:rPr>
      </w:pPr>
      <w:r>
        <w:rPr>
          <w:rFonts w:hint="eastAsia" w:cs="仿宋_GB2312" w:asciiTheme="minorEastAsia" w:hAnsiTheme="minorEastAsia" w:eastAsiaTheme="minorEastAsia"/>
          <w:iCs/>
          <w:szCs w:val="21"/>
          <w:highlight w:val="none"/>
          <w:u w:val="single"/>
        </w:rPr>
        <w:t xml:space="preserve">      （保函开立人）</w:t>
      </w:r>
      <w:r>
        <w:rPr>
          <w:rFonts w:hint="eastAsia" w:cs="仿宋_GB2312" w:asciiTheme="minorEastAsia" w:hAnsiTheme="minorEastAsia" w:eastAsiaTheme="minorEastAsia"/>
          <w:szCs w:val="21"/>
          <w:highlight w:val="none"/>
        </w:rPr>
        <w:t>无条件地、不可撤销地保证并约束本方、其继承人和受让人，一旦收到贵方提出的就下述任何一种事实的书面通知，立即无追索地向贵方支付金额为</w:t>
      </w:r>
      <w:r>
        <w:rPr>
          <w:rFonts w:hint="eastAsia" w:cs="仿宋_GB2312" w:asciiTheme="minorEastAsia" w:hAnsiTheme="minorEastAsia" w:eastAsiaTheme="minorEastAsia"/>
          <w:szCs w:val="21"/>
          <w:highlight w:val="none"/>
          <w:u w:val="single"/>
        </w:rPr>
        <w:t xml:space="preserve">   人民币</w:t>
      </w:r>
      <w:r>
        <w:rPr>
          <w:rFonts w:hint="eastAsia" w:cs="仿宋_GB2312" w:asciiTheme="minorEastAsia" w:hAnsiTheme="minorEastAsia" w:eastAsiaTheme="minorEastAsia"/>
          <w:iCs/>
          <w:szCs w:val="21"/>
          <w:highlight w:val="none"/>
          <w:u w:val="single"/>
        </w:rPr>
        <w:t>（按</w:t>
      </w:r>
      <w:r>
        <w:rPr>
          <w:rFonts w:hint="eastAsia" w:cs="仿宋_GB2312" w:asciiTheme="minorEastAsia" w:hAnsiTheme="minorEastAsia" w:eastAsiaTheme="minorEastAsia"/>
          <w:iCs/>
          <w:szCs w:val="21"/>
          <w:highlight w:val="none"/>
          <w:u w:val="single"/>
          <w:lang w:eastAsia="zh-CN"/>
        </w:rPr>
        <w:t>供应商</w:t>
      </w:r>
      <w:r>
        <w:rPr>
          <w:rFonts w:hint="eastAsia" w:cs="仿宋_GB2312" w:asciiTheme="minorEastAsia" w:hAnsiTheme="minorEastAsia" w:eastAsiaTheme="minorEastAsia"/>
          <w:iCs/>
          <w:szCs w:val="21"/>
          <w:highlight w:val="none"/>
          <w:u w:val="single"/>
        </w:rPr>
        <w:t>须知要求规定的金额和币种）</w:t>
      </w:r>
      <w:r>
        <w:rPr>
          <w:rFonts w:hint="eastAsia" w:cs="仿宋_GB2312" w:asciiTheme="minorEastAsia" w:hAnsiTheme="minorEastAsia" w:eastAsiaTheme="minorEastAsia"/>
          <w:szCs w:val="21"/>
          <w:highlight w:val="none"/>
        </w:rPr>
        <w:t>保证金：</w:t>
      </w:r>
    </w:p>
    <w:p w14:paraId="64A67F0E">
      <w:pPr>
        <w:numPr>
          <w:ilvl w:val="0"/>
          <w:numId w:val="1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规定的</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截止时间后</w:t>
      </w:r>
      <w:r>
        <w:rPr>
          <w:rFonts w:hint="eastAsia" w:cs="仿宋_GB2312" w:asciiTheme="minorEastAsia" w:hAnsiTheme="minorEastAsia" w:eastAsiaTheme="minorEastAsia"/>
          <w:szCs w:val="21"/>
          <w:highlight w:val="none"/>
          <w:lang w:eastAsia="zh-CN"/>
        </w:rPr>
        <w:t>响应有效期</w:t>
      </w:r>
      <w:r>
        <w:rPr>
          <w:rFonts w:hint="eastAsia" w:cs="仿宋_GB2312" w:asciiTheme="minorEastAsia" w:hAnsiTheme="minorEastAsia" w:eastAsiaTheme="minorEastAsia"/>
          <w:szCs w:val="21"/>
          <w:highlight w:val="none"/>
        </w:rPr>
        <w:t>内撤销其</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；或</w:t>
      </w:r>
    </w:p>
    <w:p w14:paraId="5EC1658A">
      <w:pPr>
        <w:numPr>
          <w:ilvl w:val="0"/>
          <w:numId w:val="1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规定的</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截止时间后对</w:t>
      </w:r>
      <w:r>
        <w:rPr>
          <w:rFonts w:hint="eastAsia" w:cs="仿宋_GB2312" w:asciiTheme="minorEastAsia" w:hAnsiTheme="minorEastAsia" w:eastAsiaTheme="minorEastAsia"/>
          <w:szCs w:val="21"/>
          <w:highlight w:val="none"/>
          <w:lang w:eastAsia="zh-CN"/>
        </w:rPr>
        <w:t>响应文件</w:t>
      </w:r>
      <w:r>
        <w:rPr>
          <w:rFonts w:hint="eastAsia" w:cs="仿宋_GB2312" w:asciiTheme="minorEastAsia" w:hAnsiTheme="minorEastAsia" w:eastAsiaTheme="minorEastAsia"/>
          <w:szCs w:val="21"/>
          <w:highlight w:val="none"/>
        </w:rPr>
        <w:t>作实质性修改；或</w:t>
      </w:r>
    </w:p>
    <w:p w14:paraId="041AEF41">
      <w:pPr>
        <w:numPr>
          <w:ilvl w:val="0"/>
          <w:numId w:val="1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在收到</w:t>
      </w:r>
      <w:r>
        <w:rPr>
          <w:rFonts w:hint="eastAsia" w:cs="仿宋_GB2312" w:asciiTheme="minorEastAsia" w:hAnsiTheme="minorEastAsia" w:eastAsiaTheme="minorEastAsia"/>
          <w:szCs w:val="21"/>
          <w:highlight w:val="none"/>
          <w:lang w:eastAsia="zh-CN"/>
        </w:rPr>
        <w:t>成交通知书</w:t>
      </w:r>
      <w:r>
        <w:rPr>
          <w:rFonts w:hint="eastAsia" w:cs="仿宋_GB2312" w:asciiTheme="minorEastAsia" w:hAnsiTheme="minorEastAsia" w:eastAsiaTheme="minorEastAsia"/>
          <w:szCs w:val="21"/>
          <w:highlight w:val="none"/>
        </w:rPr>
        <w:t>后，无正当理由不与</w:t>
      </w:r>
      <w:r>
        <w:rPr>
          <w:rFonts w:hint="eastAsia" w:cs="仿宋_GB2312" w:asciiTheme="minorEastAsia" w:hAnsiTheme="minorEastAsia" w:eastAsiaTheme="minorEastAsia"/>
          <w:szCs w:val="21"/>
          <w:highlight w:val="none"/>
          <w:lang w:eastAsia="zh-CN"/>
        </w:rPr>
        <w:t>采购人</w:t>
      </w:r>
      <w:r>
        <w:rPr>
          <w:rFonts w:hint="eastAsia" w:cs="仿宋_GB2312" w:asciiTheme="minorEastAsia" w:hAnsiTheme="minorEastAsia" w:eastAsiaTheme="minorEastAsia"/>
          <w:szCs w:val="21"/>
          <w:highlight w:val="none"/>
        </w:rPr>
        <w:t>在规定期限内订立合同、在签订合同时向</w:t>
      </w:r>
      <w:r>
        <w:rPr>
          <w:rFonts w:hint="eastAsia" w:cs="仿宋_GB2312" w:asciiTheme="minorEastAsia" w:hAnsiTheme="minorEastAsia" w:eastAsiaTheme="minorEastAsia"/>
          <w:szCs w:val="21"/>
          <w:highlight w:val="none"/>
          <w:lang w:eastAsia="zh-CN"/>
        </w:rPr>
        <w:t>采购人</w:t>
      </w:r>
      <w:r>
        <w:rPr>
          <w:rFonts w:hint="eastAsia" w:cs="仿宋_GB2312" w:asciiTheme="minorEastAsia" w:hAnsiTheme="minorEastAsia" w:eastAsiaTheme="minorEastAsia"/>
          <w:szCs w:val="21"/>
          <w:highlight w:val="none"/>
        </w:rPr>
        <w:t>提出附加条件或改变其</w:t>
      </w:r>
      <w:r>
        <w:rPr>
          <w:rFonts w:hint="eastAsia" w:cs="仿宋_GB2312" w:asciiTheme="minorEastAsia" w:hAnsiTheme="minorEastAsia" w:eastAsiaTheme="minorEastAsia"/>
          <w:szCs w:val="21"/>
          <w:highlight w:val="none"/>
          <w:lang w:eastAsia="zh-CN"/>
        </w:rPr>
        <w:t>响应文件</w:t>
      </w:r>
      <w:r>
        <w:rPr>
          <w:rFonts w:hint="eastAsia" w:cs="仿宋_GB2312" w:asciiTheme="minorEastAsia" w:hAnsiTheme="minorEastAsia" w:eastAsiaTheme="minorEastAsia"/>
          <w:szCs w:val="21"/>
          <w:highlight w:val="none"/>
        </w:rPr>
        <w:t>的实质性内容，或者不按照</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要求</w:t>
      </w:r>
      <w:r>
        <w:rPr>
          <w:rFonts w:hint="eastAsia" w:cs="仿宋_GB2312" w:asciiTheme="minorEastAsia" w:hAnsiTheme="minorEastAsia" w:eastAsiaTheme="minorEastAsia"/>
          <w:szCs w:val="21"/>
          <w:highlight w:val="none"/>
          <w:lang w:eastAsia="zh-CN"/>
        </w:rPr>
        <w:t>递交</w:t>
      </w:r>
      <w:r>
        <w:rPr>
          <w:rFonts w:hint="eastAsia" w:cs="仿宋_GB2312" w:asciiTheme="minorEastAsia" w:hAnsiTheme="minorEastAsia" w:eastAsiaTheme="minorEastAsia"/>
          <w:szCs w:val="21"/>
          <w:highlight w:val="none"/>
        </w:rPr>
        <w:t>履约保证金的；或</w:t>
      </w:r>
    </w:p>
    <w:p w14:paraId="08D1AB74">
      <w:pPr>
        <w:numPr>
          <w:ilvl w:val="0"/>
          <w:numId w:val="1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有串通</w:t>
      </w:r>
      <w:r>
        <w:rPr>
          <w:rFonts w:hint="eastAsia" w:cs="仿宋_GB2312" w:asciiTheme="minorEastAsia" w:hAnsiTheme="minorEastAsia" w:eastAsiaTheme="minorEastAsia"/>
          <w:szCs w:val="21"/>
          <w:highlight w:val="none"/>
          <w:lang w:eastAsia="zh-CN"/>
        </w:rPr>
        <w:t>响应</w:t>
      </w:r>
      <w:r>
        <w:rPr>
          <w:rFonts w:hint="eastAsia" w:cs="仿宋_GB2312" w:asciiTheme="minorEastAsia" w:hAnsiTheme="minorEastAsia" w:eastAsiaTheme="minorEastAsia"/>
          <w:szCs w:val="21"/>
          <w:highlight w:val="none"/>
        </w:rPr>
        <w:t>、弄虚作假等行为的；或</w:t>
      </w:r>
    </w:p>
    <w:p w14:paraId="12E22247">
      <w:pPr>
        <w:numPr>
          <w:ilvl w:val="0"/>
          <w:numId w:val="17"/>
        </w:numPr>
        <w:tabs>
          <w:tab w:val="clear" w:pos="780"/>
        </w:tabs>
        <w:autoSpaceDE w:val="0"/>
        <w:autoSpaceDN w:val="0"/>
        <w:adjustRightInd w:val="0"/>
        <w:snapToGrid w:val="0"/>
        <w:spacing w:line="360" w:lineRule="auto"/>
        <w:ind w:left="0" w:firstLine="420"/>
        <w:jc w:val="left"/>
        <w:rPr>
          <w:rFonts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有</w:t>
      </w:r>
      <w:r>
        <w:rPr>
          <w:rFonts w:hint="eastAsia" w:cs="仿宋_GB2312" w:asciiTheme="minorEastAsia" w:hAnsiTheme="minorEastAsia" w:eastAsiaTheme="minorEastAsia"/>
          <w:szCs w:val="21"/>
          <w:highlight w:val="none"/>
          <w:lang w:eastAsia="zh-CN"/>
        </w:rPr>
        <w:t>询比文件</w:t>
      </w:r>
      <w:r>
        <w:rPr>
          <w:rFonts w:hint="eastAsia" w:cs="仿宋_GB2312" w:asciiTheme="minorEastAsia" w:hAnsiTheme="minorEastAsia" w:eastAsiaTheme="minorEastAsia"/>
          <w:szCs w:val="21"/>
          <w:highlight w:val="none"/>
        </w:rPr>
        <w:t>中有关</w:t>
      </w:r>
      <w:r>
        <w:rPr>
          <w:rFonts w:hint="eastAsia" w:cs="仿宋_GB2312" w:asciiTheme="minorEastAsia" w:hAnsiTheme="minorEastAsia" w:eastAsiaTheme="minorEastAsia"/>
          <w:szCs w:val="21"/>
          <w:highlight w:val="none"/>
          <w:lang w:eastAsia="zh-CN"/>
        </w:rPr>
        <w:t>响应保证金</w:t>
      </w:r>
      <w:r>
        <w:rPr>
          <w:rFonts w:hint="eastAsia" w:cs="仿宋_GB2312" w:asciiTheme="minorEastAsia" w:hAnsiTheme="minorEastAsia" w:eastAsiaTheme="minorEastAsia"/>
          <w:szCs w:val="21"/>
          <w:highlight w:val="none"/>
        </w:rPr>
        <w:t>不予退还的其它情形的。</w:t>
      </w:r>
    </w:p>
    <w:p w14:paraId="4F917297">
      <w:pPr>
        <w:snapToGrid w:val="0"/>
        <w:spacing w:line="360" w:lineRule="auto"/>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本保函有效期应不短于</w:t>
      </w:r>
      <w:r>
        <w:rPr>
          <w:rFonts w:hint="eastAsia" w:asciiTheme="minorEastAsia" w:hAnsiTheme="minorEastAsia" w:eastAsiaTheme="minorEastAsia"/>
          <w:szCs w:val="21"/>
          <w:highlight w:val="none"/>
          <w:lang w:eastAsia="zh-CN"/>
        </w:rPr>
        <w:t>响应有效期</w:t>
      </w:r>
      <w:r>
        <w:rPr>
          <w:rFonts w:hint="eastAsia" w:asciiTheme="minorEastAsia" w:hAnsiTheme="minorEastAsia" w:eastAsiaTheme="minorEastAsia"/>
          <w:szCs w:val="21"/>
          <w:highlight w:val="none"/>
        </w:rPr>
        <w:t>，从</w:t>
      </w:r>
      <w:r>
        <w:rPr>
          <w:rFonts w:hint="eastAsia" w:asciiTheme="minorEastAsia" w:hAnsiTheme="minorEastAsia" w:eastAsiaTheme="minorEastAsia"/>
          <w:szCs w:val="21"/>
          <w:highlight w:val="none"/>
          <w:lang w:eastAsia="zh-CN"/>
        </w:rPr>
        <w:t>响应文件提交</w:t>
      </w:r>
      <w:r>
        <w:rPr>
          <w:rFonts w:hint="eastAsia" w:asciiTheme="minorEastAsia" w:hAnsiTheme="minorEastAsia" w:eastAsiaTheme="minorEastAsia"/>
          <w:szCs w:val="21"/>
          <w:highlight w:val="none"/>
        </w:rPr>
        <w:t>截止之日起计算，</w:t>
      </w:r>
      <w:r>
        <w:rPr>
          <w:rFonts w:hint="eastAsia" w:cs="仿宋_GB2312" w:asciiTheme="minorEastAsia" w:hAnsiTheme="minorEastAsia" w:eastAsiaTheme="minorEastAsia"/>
          <w:szCs w:val="21"/>
          <w:highlight w:val="none"/>
        </w:rPr>
        <w:t>并在贵方和</w:t>
      </w:r>
      <w:r>
        <w:rPr>
          <w:rFonts w:hint="eastAsia" w:cs="仿宋_GB2312" w:asciiTheme="minorEastAsia" w:hAnsiTheme="minorEastAsia" w:eastAsiaTheme="minorEastAsia"/>
          <w:szCs w:val="21"/>
          <w:highlight w:val="none"/>
          <w:lang w:eastAsia="zh-CN"/>
        </w:rPr>
        <w:t>供应商</w:t>
      </w:r>
      <w:r>
        <w:rPr>
          <w:rFonts w:hint="eastAsia" w:cs="仿宋_GB2312" w:asciiTheme="minorEastAsia" w:hAnsiTheme="minorEastAsia" w:eastAsiaTheme="minorEastAsia"/>
          <w:szCs w:val="21"/>
          <w:highlight w:val="none"/>
        </w:rPr>
        <w:t>同意延长的有效期内保持有效，延长的有效期只需通知本方即可。贵方有权提前终止或解除本保函。</w:t>
      </w:r>
    </w:p>
    <w:p w14:paraId="7CF95EC1">
      <w:pPr>
        <w:snapToGrid w:val="0"/>
        <w:spacing w:line="360" w:lineRule="auto"/>
        <w:ind w:firstLine="424" w:firstLineChars="202"/>
        <w:rPr>
          <w:rFonts w:asciiTheme="minorEastAsia" w:hAnsiTheme="minorEastAsia" w:eastAsiaTheme="minorEastAsia"/>
          <w:szCs w:val="21"/>
          <w:highlight w:val="none"/>
        </w:rPr>
      </w:pPr>
    </w:p>
    <w:p w14:paraId="7E08330F">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szCs w:val="21"/>
          <w:highlight w:val="none"/>
        </w:rPr>
        <w:t>保函开立人名称：</w:t>
      </w:r>
      <w:r>
        <w:rPr>
          <w:rFonts w:hint="eastAsia" w:asciiTheme="minorEastAsia" w:hAnsiTheme="minorEastAsia" w:eastAsiaTheme="minorEastAsia"/>
          <w:kern w:val="0"/>
          <w:szCs w:val="21"/>
          <w:highlight w:val="none"/>
          <w:u w:val="single"/>
        </w:rPr>
        <w:t>　　　　　　　　</w:t>
      </w:r>
      <w:r>
        <w:rPr>
          <w:rFonts w:hint="eastAsia" w:asciiTheme="minorEastAsia" w:hAnsiTheme="minorEastAsia" w:eastAsiaTheme="minorEastAsia"/>
          <w:kern w:val="0"/>
          <w:szCs w:val="21"/>
          <w:highlight w:val="none"/>
        </w:rPr>
        <w:t>（盖单位公章）</w:t>
      </w:r>
    </w:p>
    <w:p w14:paraId="7B1B814C">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法定代表人/负责人（签字或盖人名章）或者其委托代理人（签字）：</w:t>
      </w:r>
      <w:r>
        <w:rPr>
          <w:rFonts w:hint="eastAsia" w:asciiTheme="minorEastAsia" w:hAnsiTheme="minorEastAsia" w:eastAsiaTheme="minorEastAsia"/>
          <w:kern w:val="0"/>
          <w:szCs w:val="21"/>
          <w:highlight w:val="none"/>
          <w:u w:val="single"/>
        </w:rPr>
        <w:t xml:space="preserve">        </w:t>
      </w:r>
    </w:p>
    <w:p w14:paraId="6957A457">
      <w:pPr>
        <w:pStyle w:val="89"/>
        <w:snapToGrid w:val="0"/>
        <w:spacing w:line="440" w:lineRule="exact"/>
        <w:ind w:firstLine="411" w:firstLineChars="196"/>
        <w:rPr>
          <w:rFonts w:asciiTheme="minorEastAsia" w:hAnsiTheme="minorEastAsia" w:eastAsiaTheme="minorEastAsia"/>
          <w:kern w:val="0"/>
          <w:szCs w:val="21"/>
          <w:highlight w:val="none"/>
        </w:rPr>
      </w:pPr>
      <w:r>
        <w:rPr>
          <w:rFonts w:hint="eastAsia" w:asciiTheme="minorEastAsia" w:hAnsiTheme="minorEastAsia" w:eastAsiaTheme="minorEastAsia"/>
          <w:kern w:val="0"/>
          <w:szCs w:val="21"/>
          <w:highlight w:val="none"/>
        </w:rPr>
        <w:t>日期：</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年</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月</w:t>
      </w:r>
      <w:r>
        <w:rPr>
          <w:rFonts w:hint="eastAsia" w:asciiTheme="minorEastAsia" w:hAnsiTheme="minorEastAsia" w:eastAsiaTheme="minorEastAsia"/>
          <w:kern w:val="0"/>
          <w:szCs w:val="21"/>
          <w:highlight w:val="none"/>
          <w:u w:val="single"/>
        </w:rPr>
        <w:t xml:space="preserve">     </w:t>
      </w:r>
      <w:r>
        <w:rPr>
          <w:rFonts w:hint="eastAsia" w:asciiTheme="minorEastAsia" w:hAnsiTheme="minorEastAsia" w:eastAsiaTheme="minorEastAsia"/>
          <w:kern w:val="0"/>
          <w:szCs w:val="21"/>
          <w:highlight w:val="none"/>
        </w:rPr>
        <w:t>日</w:t>
      </w:r>
    </w:p>
    <w:p w14:paraId="25F28761">
      <w:pPr>
        <w:snapToGrid w:val="0"/>
        <w:spacing w:line="360" w:lineRule="auto"/>
        <w:ind w:firstLine="4393" w:firstLineChars="2092"/>
        <w:jc w:val="left"/>
        <w:rPr>
          <w:rFonts w:asciiTheme="minorEastAsia" w:hAnsiTheme="minorEastAsia" w:eastAsiaTheme="minorEastAsia"/>
          <w:szCs w:val="21"/>
          <w:highlight w:val="none"/>
          <w:u w:val="single"/>
        </w:rPr>
      </w:pPr>
    </w:p>
    <w:p w14:paraId="443760BA">
      <w:pPr>
        <w:autoSpaceDE w:val="0"/>
        <w:autoSpaceDN w:val="0"/>
        <w:adjustRightInd w:val="0"/>
        <w:snapToGrid w:val="0"/>
        <w:spacing w:line="360" w:lineRule="auto"/>
        <w:jc w:val="left"/>
        <w:rPr>
          <w:rFonts w:hint="eastAsia" w:cs="仿宋_GB2312" w:asciiTheme="minorEastAsia" w:hAnsiTheme="minorEastAsia" w:eastAsiaTheme="minorEastAsia"/>
          <w:szCs w:val="21"/>
          <w:highlight w:val="none"/>
        </w:rPr>
      </w:pPr>
      <w:r>
        <w:rPr>
          <w:rFonts w:hint="eastAsia" w:cs="仿宋_GB2312" w:asciiTheme="minorEastAsia" w:hAnsiTheme="minorEastAsia" w:eastAsiaTheme="minorEastAsia"/>
          <w:b/>
          <w:szCs w:val="21"/>
          <w:highlight w:val="none"/>
        </w:rPr>
        <w:t>编制要求：</w:t>
      </w:r>
      <w:r>
        <w:rPr>
          <w:rFonts w:hint="eastAsia" w:asciiTheme="minorEastAsia" w:hAnsiTheme="minorEastAsia" w:eastAsiaTheme="minorEastAsia"/>
          <w:szCs w:val="21"/>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r>
        <w:rPr>
          <w:rFonts w:hint="eastAsia" w:cs="仿宋_GB2312" w:asciiTheme="minorEastAsia" w:hAnsiTheme="minorEastAsia" w:eastAsiaTheme="minorEastAsia"/>
          <w:szCs w:val="21"/>
          <w:highlight w:val="none"/>
        </w:rPr>
        <w:t>。</w:t>
      </w:r>
    </w:p>
    <w:p w14:paraId="7352626F">
      <w:pPr>
        <w:rPr>
          <w:rFonts w:hint="eastAsia" w:cs="仿宋_GB2312" w:asciiTheme="minorEastAsia" w:hAnsiTheme="minorEastAsia" w:eastAsiaTheme="minorEastAsia"/>
          <w:szCs w:val="21"/>
          <w:highlight w:val="none"/>
        </w:rPr>
      </w:pPr>
      <w:r>
        <w:rPr>
          <w:rFonts w:hint="eastAsia" w:cs="仿宋_GB2312" w:asciiTheme="minorEastAsia" w:hAnsiTheme="minorEastAsia" w:eastAsiaTheme="minorEastAsia"/>
          <w:szCs w:val="21"/>
          <w:highlight w:val="none"/>
        </w:rPr>
        <w:br w:type="page"/>
      </w:r>
    </w:p>
    <w:p w14:paraId="43A77780">
      <w:pPr>
        <w:pStyle w:val="36"/>
        <w:tabs>
          <w:tab w:val="left" w:pos="588"/>
        </w:tabs>
        <w:snapToGrid w:val="0"/>
        <w:spacing w:before="120" w:after="120" w:line="440" w:lineRule="exact"/>
        <w:jc w:val="left"/>
        <w:outlineLvl w:val="9"/>
        <w:rPr>
          <w:rFonts w:hint="eastAsia" w:ascii="宋体" w:hAnsi="宋体" w:eastAsia="宋体" w:cs="宋体"/>
          <w:sz w:val="24"/>
          <w:szCs w:val="24"/>
        </w:rPr>
      </w:pPr>
      <w:r>
        <w:rPr>
          <w:rFonts w:hint="eastAsia" w:ascii="宋体" w:hAnsi="宋体" w:eastAsia="宋体" w:cs="宋体"/>
          <w:sz w:val="24"/>
          <w:szCs w:val="24"/>
          <w:lang w:val="en-US" w:eastAsia="zh-CN"/>
        </w:rPr>
        <w:t>响应</w:t>
      </w:r>
      <w:r>
        <w:rPr>
          <w:rFonts w:hint="eastAsia" w:ascii="宋体" w:hAnsi="宋体" w:eastAsia="宋体" w:cs="宋体"/>
          <w:sz w:val="24"/>
          <w:szCs w:val="24"/>
        </w:rPr>
        <w:t>保证金返还书</w:t>
      </w:r>
    </w:p>
    <w:p w14:paraId="17E132A6">
      <w:pPr>
        <w:pStyle w:val="48"/>
        <w:spacing w:line="360" w:lineRule="auto"/>
        <w:rPr>
          <w:rFonts w:hint="eastAsia" w:ascii="宋体" w:hAnsi="宋体" w:eastAsia="宋体" w:cs="宋体"/>
          <w:szCs w:val="21"/>
        </w:rPr>
      </w:pPr>
      <w:r>
        <w:rPr>
          <w:rFonts w:hint="eastAsia" w:ascii="宋体" w:hAnsi="宋体" w:eastAsia="宋体" w:cs="宋体"/>
          <w:szCs w:val="21"/>
        </w:rPr>
        <w:t>中通服供应链股份有限公司贵州分公司：</w:t>
      </w:r>
    </w:p>
    <w:p w14:paraId="598F041B">
      <w:pPr>
        <w:pStyle w:val="48"/>
        <w:spacing w:line="360" w:lineRule="auto"/>
        <w:rPr>
          <w:rFonts w:hint="eastAsia" w:ascii="宋体" w:hAnsi="宋体" w:eastAsia="宋体" w:cs="宋体"/>
          <w:szCs w:val="21"/>
        </w:rPr>
      </w:pPr>
      <w:r>
        <w:rPr>
          <w:rFonts w:hint="eastAsia" w:ascii="宋体" w:hAnsi="宋体" w:eastAsia="宋体" w:cs="宋体"/>
          <w:szCs w:val="21"/>
        </w:rPr>
        <w:t>我单位参加你公司组织的</w:t>
      </w:r>
      <w:r>
        <w:rPr>
          <w:rFonts w:hint="eastAsia" w:ascii="宋体" w:hAnsi="宋体" w:eastAsia="宋体" w:cs="宋体"/>
          <w:szCs w:val="21"/>
          <w:u w:val="single"/>
        </w:rPr>
        <w:t xml:space="preserve">      （项目名称）（</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）的</w:t>
      </w:r>
      <w:r>
        <w:rPr>
          <w:rFonts w:hint="eastAsia" w:ascii="宋体" w:hAnsi="宋体" w:eastAsia="宋体" w:cs="宋体"/>
          <w:szCs w:val="21"/>
          <w:lang w:val="en-US" w:eastAsia="zh-CN"/>
        </w:rPr>
        <w:t>询比</w:t>
      </w:r>
      <w:r>
        <w:rPr>
          <w:rFonts w:hint="eastAsia" w:ascii="宋体" w:hAnsi="宋体" w:eastAsia="宋体" w:cs="宋体"/>
          <w:szCs w:val="21"/>
        </w:rPr>
        <w:t>，如须退还</w:t>
      </w:r>
      <w:r>
        <w:rPr>
          <w:rFonts w:hint="eastAsia" w:ascii="宋体" w:hAnsi="宋体" w:eastAsia="宋体" w:cs="宋体"/>
          <w:szCs w:val="21"/>
          <w:lang w:val="en-US" w:eastAsia="zh-CN"/>
        </w:rPr>
        <w:t>响应</w:t>
      </w:r>
      <w:r>
        <w:rPr>
          <w:rFonts w:hint="eastAsia" w:ascii="宋体" w:hAnsi="宋体" w:eastAsia="宋体" w:cs="宋体"/>
          <w:szCs w:val="21"/>
        </w:rPr>
        <w:t>保证金请贵公司将我单位提供的</w:t>
      </w:r>
      <w:r>
        <w:rPr>
          <w:rFonts w:hint="eastAsia" w:ascii="宋体" w:hAnsi="宋体" w:eastAsia="宋体" w:cs="宋体"/>
          <w:szCs w:val="21"/>
          <w:lang w:val="en-US" w:eastAsia="zh-CN"/>
        </w:rPr>
        <w:t>响应</w:t>
      </w:r>
      <w:r>
        <w:rPr>
          <w:rFonts w:hint="eastAsia" w:ascii="宋体" w:hAnsi="宋体" w:eastAsia="宋体" w:cs="宋体"/>
          <w:szCs w:val="21"/>
        </w:rPr>
        <w:t>保证金汇入到以下帐户。</w:t>
      </w:r>
    </w:p>
    <w:p w14:paraId="5D3BE2D1">
      <w:pPr>
        <w:pStyle w:val="48"/>
        <w:spacing w:line="360" w:lineRule="auto"/>
        <w:rPr>
          <w:rFonts w:hint="eastAsia" w:ascii="宋体" w:hAnsi="宋体" w:eastAsia="宋体" w:cs="宋体"/>
          <w:szCs w:val="21"/>
        </w:rPr>
      </w:pPr>
      <w:r>
        <w:rPr>
          <w:rFonts w:hint="eastAsia" w:ascii="宋体" w:hAnsi="宋体" w:eastAsia="宋体" w:cs="宋体"/>
          <w:szCs w:val="21"/>
        </w:rPr>
        <w:t>以下是我单位提供的有关内容，保证真实。</w:t>
      </w:r>
    </w:p>
    <w:p w14:paraId="2CBBA930">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单位全称：</w:t>
      </w:r>
      <w:r>
        <w:rPr>
          <w:rFonts w:hint="eastAsia" w:ascii="宋体" w:hAnsi="宋体" w:eastAsia="宋体" w:cs="宋体"/>
          <w:szCs w:val="21"/>
          <w:u w:val="single"/>
        </w:rPr>
        <w:t xml:space="preserve">                                                        </w:t>
      </w:r>
    </w:p>
    <w:p w14:paraId="2B4C01F8">
      <w:pPr>
        <w:pStyle w:val="48"/>
        <w:spacing w:line="360" w:lineRule="auto"/>
        <w:rPr>
          <w:rFonts w:hint="eastAsia" w:ascii="宋体" w:hAnsi="宋体" w:eastAsia="宋体" w:cs="宋体"/>
          <w:szCs w:val="21"/>
        </w:rPr>
      </w:pPr>
      <w:r>
        <w:rPr>
          <w:rFonts w:hint="eastAsia" w:ascii="宋体" w:hAnsi="宋体" w:eastAsia="宋体" w:cs="宋体"/>
          <w:szCs w:val="21"/>
        </w:rPr>
        <w:t xml:space="preserve">开户名称：    </w:t>
      </w:r>
      <w:r>
        <w:rPr>
          <w:rFonts w:hint="eastAsia" w:ascii="宋体" w:hAnsi="宋体" w:eastAsia="宋体" w:cs="宋体"/>
          <w:szCs w:val="21"/>
          <w:u w:val="single"/>
        </w:rPr>
        <w:t xml:space="preserve">                                                        </w:t>
      </w:r>
    </w:p>
    <w:p w14:paraId="1436BCEC">
      <w:pPr>
        <w:pStyle w:val="48"/>
        <w:spacing w:line="360" w:lineRule="auto"/>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单位地址：</w:t>
      </w:r>
      <w:r>
        <w:rPr>
          <w:rFonts w:hint="eastAsia" w:ascii="宋体" w:hAnsi="宋体" w:eastAsia="宋体" w:cs="宋体"/>
          <w:szCs w:val="21"/>
          <w:u w:val="single"/>
        </w:rPr>
        <w:t xml:space="preserve">                                                        </w:t>
      </w:r>
    </w:p>
    <w:p w14:paraId="453964F6">
      <w:pPr>
        <w:pStyle w:val="48"/>
        <w:spacing w:line="360" w:lineRule="auto"/>
        <w:rPr>
          <w:rFonts w:hint="eastAsia" w:ascii="宋体" w:hAnsi="宋体" w:eastAsia="宋体" w:cs="宋体"/>
          <w:szCs w:val="21"/>
          <w:u w:val="single"/>
        </w:rPr>
      </w:pPr>
      <w:r>
        <w:rPr>
          <w:rFonts w:hint="eastAsia" w:ascii="宋体" w:hAnsi="宋体" w:eastAsia="宋体" w:cs="宋体"/>
          <w:szCs w:val="21"/>
        </w:rPr>
        <w:t>开 户 银 行：</w:t>
      </w:r>
      <w:r>
        <w:rPr>
          <w:rFonts w:hint="eastAsia" w:ascii="宋体" w:hAnsi="宋体" w:eastAsia="宋体" w:cs="宋体"/>
          <w:szCs w:val="21"/>
          <w:u w:val="single"/>
        </w:rPr>
        <w:t xml:space="preserve">                                                         </w:t>
      </w:r>
    </w:p>
    <w:p w14:paraId="100CEC80">
      <w:pPr>
        <w:pStyle w:val="48"/>
        <w:spacing w:line="360" w:lineRule="auto"/>
        <w:rPr>
          <w:rFonts w:hint="eastAsia" w:ascii="宋体" w:hAnsi="宋体" w:eastAsia="宋体" w:cs="宋体"/>
          <w:szCs w:val="21"/>
          <w:u w:val="single"/>
        </w:rPr>
      </w:pPr>
      <w:r>
        <w:rPr>
          <w:rFonts w:hint="eastAsia" w:ascii="宋体" w:hAnsi="宋体" w:eastAsia="宋体" w:cs="宋体"/>
          <w:szCs w:val="21"/>
        </w:rPr>
        <w:t>账      号：</w:t>
      </w:r>
      <w:r>
        <w:rPr>
          <w:rFonts w:hint="eastAsia" w:ascii="宋体" w:hAnsi="宋体" w:eastAsia="宋体" w:cs="宋体"/>
          <w:szCs w:val="21"/>
          <w:u w:val="single"/>
        </w:rPr>
        <w:t xml:space="preserve">                                                          </w:t>
      </w:r>
    </w:p>
    <w:p w14:paraId="4B738A96">
      <w:pPr>
        <w:pStyle w:val="48"/>
        <w:spacing w:line="360" w:lineRule="auto"/>
        <w:rPr>
          <w:rFonts w:hint="eastAsia" w:ascii="宋体" w:hAnsi="宋体" w:eastAsia="宋体" w:cs="宋体"/>
          <w:szCs w:val="21"/>
          <w:u w:val="single"/>
        </w:rPr>
      </w:pPr>
      <w:r>
        <w:rPr>
          <w:rFonts w:hint="eastAsia" w:ascii="宋体" w:hAnsi="宋体" w:eastAsia="宋体" w:cs="宋体"/>
          <w:szCs w:val="21"/>
        </w:rPr>
        <w:t>联  系  人：</w:t>
      </w:r>
      <w:r>
        <w:rPr>
          <w:rFonts w:hint="eastAsia" w:ascii="宋体" w:hAnsi="宋体" w:eastAsia="宋体" w:cs="宋体"/>
          <w:szCs w:val="21"/>
          <w:u w:val="single"/>
        </w:rPr>
        <w:t xml:space="preserve">                                                          </w:t>
      </w:r>
    </w:p>
    <w:p w14:paraId="0A9C413B">
      <w:pPr>
        <w:pStyle w:val="48"/>
        <w:spacing w:line="360" w:lineRule="auto"/>
        <w:rPr>
          <w:rFonts w:hint="eastAsia" w:ascii="宋体" w:hAnsi="宋体" w:eastAsia="宋体" w:cs="宋体"/>
          <w:szCs w:val="21"/>
          <w:u w:val="single"/>
        </w:rPr>
      </w:pPr>
      <w:r>
        <w:rPr>
          <w:rFonts w:hint="eastAsia" w:ascii="宋体" w:hAnsi="宋体" w:eastAsia="宋体" w:cs="宋体"/>
          <w:szCs w:val="21"/>
        </w:rPr>
        <w:t>联系电话及传真：</w:t>
      </w:r>
      <w:r>
        <w:rPr>
          <w:rFonts w:hint="eastAsia" w:ascii="宋体" w:hAnsi="宋体" w:eastAsia="宋体" w:cs="宋体"/>
          <w:szCs w:val="21"/>
          <w:u w:val="single"/>
        </w:rPr>
        <w:t xml:space="preserve">                                                      </w:t>
      </w:r>
    </w:p>
    <w:p w14:paraId="55C55CB9">
      <w:pPr>
        <w:pStyle w:val="48"/>
        <w:spacing w:line="360" w:lineRule="auto"/>
        <w:rPr>
          <w:rFonts w:hint="eastAsia" w:ascii="宋体" w:hAnsi="宋体" w:eastAsia="宋体" w:cs="宋体"/>
          <w:szCs w:val="21"/>
          <w:u w:val="single"/>
        </w:rPr>
      </w:pPr>
    </w:p>
    <w:p w14:paraId="033A4FE4">
      <w:pPr>
        <w:pStyle w:val="48"/>
        <w:spacing w:line="360" w:lineRule="auto"/>
        <w:rPr>
          <w:rFonts w:hint="eastAsia" w:ascii="宋体" w:hAnsi="宋体" w:eastAsia="宋体" w:cs="宋体"/>
          <w:szCs w:val="21"/>
        </w:rPr>
      </w:pPr>
      <w:r>
        <w:rPr>
          <w:rFonts w:hint="eastAsia" w:ascii="宋体" w:hAnsi="宋体" w:eastAsia="宋体" w:cs="宋体"/>
          <w:szCs w:val="21"/>
        </w:rPr>
        <w:t>特别说明：</w:t>
      </w:r>
    </w:p>
    <w:p w14:paraId="1A2F46B2">
      <w:pPr>
        <w:pStyle w:val="48"/>
        <w:spacing w:line="360" w:lineRule="auto"/>
        <w:rPr>
          <w:rFonts w:hint="eastAsia" w:ascii="宋体" w:hAnsi="宋体" w:eastAsia="宋体" w:cs="宋体"/>
          <w:szCs w:val="21"/>
        </w:rPr>
      </w:pPr>
      <w:r>
        <w:rPr>
          <w:rFonts w:hint="eastAsia" w:ascii="宋体" w:hAnsi="宋体" w:eastAsia="宋体" w:cs="宋体"/>
          <w:szCs w:val="21"/>
        </w:rPr>
        <w:t xml:space="preserve">1） </w:t>
      </w:r>
      <w:r>
        <w:rPr>
          <w:rFonts w:hint="eastAsia" w:ascii="宋体" w:hAnsi="宋体" w:eastAsia="宋体" w:cs="宋体"/>
          <w:szCs w:val="21"/>
          <w:lang w:val="en-US" w:eastAsia="zh-CN"/>
        </w:rPr>
        <w:t>供应商</w:t>
      </w:r>
      <w:r>
        <w:rPr>
          <w:rFonts w:hint="eastAsia" w:ascii="宋体" w:hAnsi="宋体" w:eastAsia="宋体" w:cs="宋体"/>
          <w:szCs w:val="21"/>
        </w:rPr>
        <w:t>请认真填写以上内容，如由于参选人的填写错误或字迹不清楚而造成的损失由参选人自行承担。</w:t>
      </w:r>
    </w:p>
    <w:p w14:paraId="0D5DEB03">
      <w:pPr>
        <w:pStyle w:val="48"/>
        <w:spacing w:line="360" w:lineRule="auto"/>
        <w:rPr>
          <w:rFonts w:hint="eastAsia" w:ascii="宋体" w:hAnsi="宋体" w:eastAsia="宋体" w:cs="宋体"/>
          <w:szCs w:val="21"/>
        </w:rPr>
      </w:pPr>
      <w:r>
        <w:rPr>
          <w:rFonts w:hint="eastAsia" w:ascii="宋体" w:hAnsi="宋体" w:eastAsia="宋体" w:cs="宋体"/>
          <w:szCs w:val="21"/>
        </w:rPr>
        <w:t>2）“</w:t>
      </w:r>
      <w:r>
        <w:rPr>
          <w:rFonts w:hint="eastAsia" w:ascii="宋体" w:hAnsi="宋体" w:eastAsia="宋体" w:cs="宋体"/>
          <w:szCs w:val="21"/>
          <w:lang w:val="en-US" w:eastAsia="zh-CN"/>
        </w:rPr>
        <w:t>响应</w:t>
      </w:r>
      <w:r>
        <w:rPr>
          <w:rFonts w:hint="eastAsia" w:ascii="宋体" w:hAnsi="宋体" w:eastAsia="宋体" w:cs="宋体"/>
          <w:szCs w:val="21"/>
        </w:rPr>
        <w:t>保证金返还书”为</w:t>
      </w:r>
      <w:r>
        <w:rPr>
          <w:rFonts w:hint="eastAsia" w:ascii="宋体" w:hAnsi="宋体" w:eastAsia="宋体" w:cs="宋体"/>
          <w:szCs w:val="21"/>
          <w:lang w:val="en-US" w:eastAsia="zh-CN"/>
        </w:rPr>
        <w:t>供应商</w:t>
      </w:r>
      <w:r>
        <w:rPr>
          <w:rFonts w:hint="eastAsia" w:ascii="宋体" w:hAnsi="宋体" w:eastAsia="宋体" w:cs="宋体"/>
          <w:szCs w:val="21"/>
        </w:rPr>
        <w:t>返还</w:t>
      </w:r>
      <w:r>
        <w:rPr>
          <w:rFonts w:hint="eastAsia" w:ascii="宋体" w:hAnsi="宋体" w:eastAsia="宋体" w:cs="宋体"/>
          <w:szCs w:val="21"/>
          <w:lang w:val="en-US" w:eastAsia="zh-CN"/>
        </w:rPr>
        <w:t>响应</w:t>
      </w:r>
      <w:r>
        <w:rPr>
          <w:rFonts w:hint="eastAsia" w:ascii="宋体" w:hAnsi="宋体" w:eastAsia="宋体" w:cs="宋体"/>
          <w:szCs w:val="21"/>
        </w:rPr>
        <w:t>保证金的重要依据，</w:t>
      </w:r>
      <w:r>
        <w:rPr>
          <w:rFonts w:hint="eastAsia" w:ascii="宋体" w:hAnsi="宋体" w:eastAsia="宋体" w:cs="宋体"/>
          <w:szCs w:val="21"/>
          <w:lang w:val="en-US" w:eastAsia="zh-CN"/>
        </w:rPr>
        <w:t>供应商</w:t>
      </w:r>
      <w:r>
        <w:rPr>
          <w:rFonts w:hint="eastAsia" w:ascii="宋体" w:hAnsi="宋体" w:eastAsia="宋体" w:cs="宋体"/>
          <w:szCs w:val="21"/>
        </w:rPr>
        <w:t>必须加盖公章和法定代表人或授权代表签字后方能生效。</w:t>
      </w:r>
    </w:p>
    <w:p w14:paraId="0082B8C4">
      <w:pPr>
        <w:pStyle w:val="48"/>
        <w:spacing w:line="360" w:lineRule="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响应</w:t>
      </w:r>
      <w:r>
        <w:rPr>
          <w:rFonts w:hint="eastAsia" w:ascii="宋体" w:hAnsi="宋体" w:eastAsia="宋体" w:cs="宋体"/>
          <w:szCs w:val="21"/>
        </w:rPr>
        <w:t>保证金返还书”将作退还参选保证金的唯一凭证，我单位严格按照“</w:t>
      </w:r>
      <w:r>
        <w:rPr>
          <w:rFonts w:hint="eastAsia" w:ascii="宋体" w:hAnsi="宋体" w:eastAsia="宋体" w:cs="宋体"/>
          <w:szCs w:val="21"/>
          <w:lang w:val="en-US" w:eastAsia="zh-CN"/>
        </w:rPr>
        <w:t>响应</w:t>
      </w:r>
      <w:r>
        <w:rPr>
          <w:rFonts w:hint="eastAsia" w:ascii="宋体" w:hAnsi="宋体" w:eastAsia="宋体" w:cs="宋体"/>
          <w:szCs w:val="21"/>
        </w:rPr>
        <w:t>保证金返还书”所提供资料进行返还。</w:t>
      </w:r>
    </w:p>
    <w:p w14:paraId="1217BE71">
      <w:pPr>
        <w:spacing w:line="360" w:lineRule="auto"/>
        <w:ind w:firstLine="420" w:firstLineChars="200"/>
        <w:rPr>
          <w:rFonts w:hint="eastAsia" w:ascii="宋体" w:hAnsi="宋体" w:eastAsia="宋体" w:cs="宋体"/>
          <w:szCs w:val="21"/>
          <w:u w:val="single"/>
        </w:rPr>
      </w:pPr>
      <w:r>
        <w:rPr>
          <w:rFonts w:hint="eastAsia" w:ascii="宋体" w:hAnsi="宋体" w:eastAsia="宋体" w:cs="宋体"/>
          <w:szCs w:val="21"/>
          <w:lang w:val="en-US" w:eastAsia="zh-CN"/>
        </w:rPr>
        <w:t>供应商</w:t>
      </w:r>
      <w:r>
        <w:rPr>
          <w:rFonts w:hint="eastAsia" w:ascii="宋体" w:hAnsi="宋体" w:eastAsia="宋体" w:cs="宋体"/>
          <w:szCs w:val="21"/>
        </w:rPr>
        <w:t>单位全称：</w:t>
      </w:r>
      <w:r>
        <w:rPr>
          <w:rFonts w:hint="eastAsia" w:ascii="宋体" w:hAnsi="宋体" w:eastAsia="宋体" w:cs="宋体"/>
          <w:szCs w:val="21"/>
          <w:u w:val="single"/>
        </w:rPr>
        <w:t xml:space="preserve">             </w:t>
      </w:r>
    </w:p>
    <w:p w14:paraId="55FA5FFB">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年   月   日</w:t>
      </w:r>
    </w:p>
    <w:p w14:paraId="091B753E">
      <w:pPr>
        <w:widowControl/>
        <w:jc w:val="left"/>
        <w:rPr>
          <w:rFonts w:hint="eastAsia" w:ascii="宋体" w:hAnsi="宋体" w:eastAsia="宋体" w:cs="宋体"/>
          <w:szCs w:val="21"/>
        </w:rPr>
      </w:pPr>
      <w:r>
        <w:rPr>
          <w:rFonts w:hint="eastAsia" w:ascii="宋体" w:hAnsi="宋体" w:eastAsia="宋体" w:cs="宋体"/>
          <w:szCs w:val="21"/>
        </w:rPr>
        <w:br w:type="page"/>
      </w:r>
    </w:p>
    <w:p w14:paraId="3669745B">
      <w:pPr>
        <w:spacing w:line="360" w:lineRule="auto"/>
        <w:ind w:firstLine="420" w:firstLineChars="200"/>
        <w:rPr>
          <w:rFonts w:hint="eastAsia" w:ascii="宋体" w:hAnsi="宋体" w:eastAsia="宋体" w:cs="宋体"/>
          <w:szCs w:val="21"/>
        </w:rPr>
      </w:pPr>
    </w:p>
    <w:p w14:paraId="6A2F3A22">
      <w:pPr>
        <w:pStyle w:val="48"/>
        <w:adjustRightInd w:val="0"/>
        <w:snapToGrid w:val="0"/>
        <w:spacing w:line="440" w:lineRule="exact"/>
        <w:ind w:left="5250" w:firstLine="0" w:firstLineChars="0"/>
        <w:rPr>
          <w:rFonts w:hint="eastAsia" w:ascii="宋体" w:hAnsi="宋体" w:eastAsia="宋体" w:cs="宋体"/>
          <w:sz w:val="24"/>
        </w:rPr>
      </w:pPr>
    </w:p>
    <w:p w14:paraId="306B08B8">
      <w:pPr>
        <w:pStyle w:val="48"/>
        <w:ind w:left="5250" w:right="240" w:firstLine="0" w:firstLineChars="0"/>
        <w:jc w:val="right"/>
        <w:rPr>
          <w:rFonts w:hint="eastAsia" w:ascii="宋体" w:hAnsi="宋体" w:eastAsia="宋体" w:cs="宋体"/>
        </w:rPr>
      </w:pPr>
    </w:p>
    <w:p w14:paraId="5E6F5443">
      <w:pPr>
        <w:jc w:val="center"/>
        <w:rPr>
          <w:rFonts w:hint="eastAsia" w:ascii="宋体" w:hAnsi="宋体" w:eastAsia="宋体" w:cs="宋体"/>
          <w:sz w:val="24"/>
        </w:rPr>
      </w:pPr>
      <w:r>
        <w:rPr>
          <w:rFonts w:hint="eastAsia" w:ascii="宋体" w:hAnsi="宋体" w:eastAsia="宋体" w:cs="宋体"/>
          <w:sz w:val="24"/>
          <w:lang w:val="en-US" w:eastAsia="zh-CN"/>
        </w:rPr>
        <w:t>响应</w:t>
      </w:r>
      <w:r>
        <w:rPr>
          <w:rFonts w:hint="eastAsia" w:ascii="宋体" w:hAnsi="宋体" w:eastAsia="宋体" w:cs="宋体"/>
          <w:sz w:val="24"/>
        </w:rPr>
        <w:t>保证金汇款凭据</w:t>
      </w:r>
    </w:p>
    <w:tbl>
      <w:tblPr>
        <w:tblStyle w:val="39"/>
        <w:tblW w:w="0" w:type="auto"/>
        <w:tblInd w:w="0"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8720"/>
      </w:tblGrid>
      <w:tr w14:paraId="2BD23680">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CellMar>
            <w:top w:w="0" w:type="dxa"/>
            <w:left w:w="108" w:type="dxa"/>
            <w:bottom w:w="0" w:type="dxa"/>
            <w:right w:w="108" w:type="dxa"/>
          </w:tblCellMar>
        </w:tblPrEx>
        <w:trPr>
          <w:trHeight w:val="4381" w:hRule="atLeast"/>
        </w:trPr>
        <w:tc>
          <w:tcPr>
            <w:tcW w:w="8720" w:type="dxa"/>
          </w:tcPr>
          <w:p w14:paraId="1D67DC7B">
            <w:pPr>
              <w:rPr>
                <w:rFonts w:hint="eastAsia" w:ascii="宋体" w:hAnsi="宋体" w:eastAsia="宋体" w:cs="宋体"/>
                <w:szCs w:val="21"/>
              </w:rPr>
            </w:pPr>
            <w:r>
              <w:rPr>
                <w:rFonts w:hint="eastAsia" w:ascii="宋体" w:hAnsi="宋体" w:eastAsia="宋体" w:cs="宋体"/>
                <w:szCs w:val="21"/>
                <w:lang w:val="en-US" w:eastAsia="zh-CN"/>
              </w:rPr>
              <w:t>响应</w:t>
            </w:r>
            <w:r>
              <w:rPr>
                <w:rFonts w:hint="eastAsia" w:ascii="宋体" w:hAnsi="宋体" w:eastAsia="宋体" w:cs="宋体"/>
                <w:szCs w:val="21"/>
              </w:rPr>
              <w:t>保证金汇款凭据贴附处</w:t>
            </w:r>
          </w:p>
        </w:tc>
      </w:tr>
    </w:tbl>
    <w:p w14:paraId="7FF561B8">
      <w:pPr>
        <w:widowControl/>
        <w:jc w:val="left"/>
        <w:rPr>
          <w:rFonts w:asciiTheme="minorEastAsia" w:hAnsiTheme="minorEastAsia" w:eastAsiaTheme="minorEastAsia"/>
          <w:b/>
          <w:bCs/>
          <w:sz w:val="24"/>
          <w:highlight w:val="none"/>
        </w:rPr>
        <w:sectPr>
          <w:pgSz w:w="11906" w:h="16838"/>
          <w:pgMar w:top="1440" w:right="1800" w:bottom="1440" w:left="1800" w:header="851" w:footer="992" w:gutter="0"/>
          <w:pgNumType w:fmt="decimal"/>
          <w:cols w:space="425" w:num="1"/>
          <w:docGrid w:type="lines" w:linePitch="312" w:charSpace="0"/>
        </w:sectPr>
      </w:pPr>
    </w:p>
    <w:bookmarkEnd w:id="2020"/>
    <w:bookmarkEnd w:id="2021"/>
    <w:bookmarkEnd w:id="2022"/>
    <w:bookmarkEnd w:id="2023"/>
    <w:p w14:paraId="7EC29FF0">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052" w:name="_Toc31898"/>
      <w:bookmarkStart w:id="2053" w:name="_Toc38008095"/>
      <w:bookmarkStart w:id="2054" w:name="_Toc530"/>
      <w:bookmarkStart w:id="2055" w:name="_Toc475472687"/>
      <w:bookmarkStart w:id="2056" w:name="_Toc30125"/>
      <w:bookmarkStart w:id="2057" w:name="_Toc14533"/>
      <w:bookmarkStart w:id="2058" w:name="_Toc13804"/>
      <w:bookmarkStart w:id="2059" w:name="_Toc13737"/>
      <w:bookmarkStart w:id="2060" w:name="_Toc12746"/>
      <w:bookmarkStart w:id="2061" w:name="_Toc5613"/>
      <w:bookmarkStart w:id="2062" w:name="_Toc28828"/>
      <w:bookmarkStart w:id="2063" w:name="_Toc20780"/>
      <w:bookmarkStart w:id="2064" w:name="_Toc139026984"/>
      <w:bookmarkStart w:id="2065" w:name="_Toc11332"/>
      <w:bookmarkStart w:id="2066" w:name="_Toc25650"/>
      <w:bookmarkStart w:id="2067" w:name="_Toc18348"/>
      <w:bookmarkStart w:id="2068" w:name="_Toc27773"/>
      <w:bookmarkStart w:id="2069" w:name="_Toc447265331"/>
      <w:bookmarkStart w:id="2070" w:name="_Toc447265617"/>
      <w:bookmarkStart w:id="2071" w:name="_Toc19398"/>
      <w:r>
        <w:rPr>
          <w:rFonts w:hint="eastAsia" w:cs="Times New Roman" w:asciiTheme="minorEastAsia" w:hAnsiTheme="minorEastAsia" w:eastAsiaTheme="minorEastAsia"/>
          <w:b/>
          <w:bCs/>
          <w:kern w:val="2"/>
          <w:sz w:val="24"/>
          <w:szCs w:val="24"/>
          <w:lang w:val="en-US" w:eastAsia="zh-CN" w:bidi="ar-SA"/>
        </w:rPr>
        <w:t>20.</w:t>
      </w:r>
      <w:r>
        <w:rPr>
          <w:rFonts w:hint="eastAsia" w:asciiTheme="minorEastAsia" w:hAnsiTheme="minorEastAsia" w:eastAsiaTheme="minorEastAsia"/>
          <w:sz w:val="24"/>
          <w:szCs w:val="24"/>
          <w:highlight w:val="none"/>
        </w:rPr>
        <w:t>业绩情况表</w:t>
      </w:r>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p>
    <w:p w14:paraId="70C38088">
      <w:pPr>
        <w:pStyle w:val="48"/>
        <w:ind w:firstLine="0" w:firstLineChars="0"/>
        <w:jc w:val="center"/>
        <w:rPr>
          <w:rFonts w:asciiTheme="minorEastAsia" w:hAnsiTheme="minorEastAsia" w:eastAsiaTheme="minorEastAsia"/>
          <w:b/>
          <w:sz w:val="24"/>
          <w:highlight w:val="none"/>
        </w:rPr>
      </w:pPr>
    </w:p>
    <w:p w14:paraId="76A77A74">
      <w:pPr>
        <w:pStyle w:val="48"/>
        <w:ind w:firstLine="0" w:firstLineChars="0"/>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近年（年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日至年</w:t>
      </w:r>
      <w:r>
        <w:rPr>
          <w:rFonts w:asciiTheme="minorEastAsia" w:hAnsiTheme="minorEastAsia" w:eastAsiaTheme="minorEastAsia"/>
          <w:b/>
          <w:sz w:val="24"/>
          <w:highlight w:val="none"/>
        </w:rPr>
        <w:t>月</w:t>
      </w:r>
      <w:r>
        <w:rPr>
          <w:rFonts w:hint="eastAsia" w:asciiTheme="minorEastAsia" w:hAnsiTheme="minorEastAsia" w:eastAsiaTheme="minorEastAsia"/>
          <w:b/>
          <w:sz w:val="24"/>
          <w:highlight w:val="none"/>
        </w:rPr>
        <w:t>日）业绩情况表</w:t>
      </w:r>
      <w:bookmarkEnd w:id="2069"/>
      <w:bookmarkEnd w:id="2070"/>
    </w:p>
    <w:tbl>
      <w:tblPr>
        <w:tblStyle w:val="39"/>
        <w:tblW w:w="139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97"/>
        <w:gridCol w:w="3014"/>
        <w:gridCol w:w="1843"/>
        <w:gridCol w:w="1842"/>
        <w:gridCol w:w="1701"/>
        <w:gridCol w:w="1134"/>
        <w:gridCol w:w="1418"/>
        <w:gridCol w:w="1226"/>
      </w:tblGrid>
      <w:tr w14:paraId="24AA7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vAlign w:val="center"/>
          </w:tcPr>
          <w:p w14:paraId="2CF5C8CD">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序号</w:t>
            </w:r>
          </w:p>
        </w:tc>
        <w:tc>
          <w:tcPr>
            <w:tcW w:w="1097" w:type="dxa"/>
            <w:shd w:val="clear" w:color="auto" w:fill="auto"/>
            <w:vAlign w:val="center"/>
          </w:tcPr>
          <w:p w14:paraId="07FB0C1F">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项目名称</w:t>
            </w:r>
          </w:p>
        </w:tc>
        <w:tc>
          <w:tcPr>
            <w:tcW w:w="3014" w:type="dxa"/>
            <w:shd w:val="clear" w:color="auto" w:fill="auto"/>
            <w:vAlign w:val="center"/>
          </w:tcPr>
          <w:p w14:paraId="7B480348">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lang w:val="en-US" w:eastAsia="zh-CN"/>
              </w:rPr>
              <w:t>产品</w:t>
            </w:r>
          </w:p>
        </w:tc>
        <w:tc>
          <w:tcPr>
            <w:tcW w:w="1843" w:type="dxa"/>
            <w:shd w:val="clear" w:color="auto" w:fill="auto"/>
            <w:vAlign w:val="center"/>
          </w:tcPr>
          <w:p w14:paraId="22C4C036">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w:t>
            </w:r>
          </w:p>
        </w:tc>
        <w:tc>
          <w:tcPr>
            <w:tcW w:w="1842" w:type="dxa"/>
            <w:shd w:val="clear" w:color="auto" w:fill="auto"/>
            <w:vAlign w:val="center"/>
          </w:tcPr>
          <w:p w14:paraId="6B40FEA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最终用户联系人及联系方式</w:t>
            </w:r>
          </w:p>
        </w:tc>
        <w:tc>
          <w:tcPr>
            <w:tcW w:w="1701" w:type="dxa"/>
            <w:shd w:val="clear" w:color="auto" w:fill="auto"/>
            <w:vAlign w:val="center"/>
          </w:tcPr>
          <w:p w14:paraId="722D2535">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供货数量（XX单位）</w:t>
            </w:r>
          </w:p>
        </w:tc>
        <w:tc>
          <w:tcPr>
            <w:tcW w:w="1134" w:type="dxa"/>
            <w:shd w:val="clear" w:color="auto" w:fill="auto"/>
            <w:vAlign w:val="center"/>
          </w:tcPr>
          <w:p w14:paraId="128E1CD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销售金额（万元）</w:t>
            </w:r>
          </w:p>
        </w:tc>
        <w:tc>
          <w:tcPr>
            <w:tcW w:w="1418" w:type="dxa"/>
            <w:shd w:val="clear" w:color="auto" w:fill="auto"/>
            <w:vAlign w:val="center"/>
          </w:tcPr>
          <w:p w14:paraId="762DD03F">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证明文件所在页码</w:t>
            </w:r>
          </w:p>
        </w:tc>
        <w:tc>
          <w:tcPr>
            <w:tcW w:w="1226" w:type="dxa"/>
            <w:shd w:val="clear" w:color="auto" w:fill="auto"/>
            <w:vAlign w:val="center"/>
          </w:tcPr>
          <w:p w14:paraId="3E9A383B">
            <w:pPr>
              <w:snapToGrid w:val="0"/>
              <w:jc w:val="center"/>
              <w:rPr>
                <w:rFonts w:cs="宋体" w:asciiTheme="minorEastAsia" w:hAnsiTheme="minorEastAsia" w:eastAsiaTheme="minorEastAsia"/>
                <w:szCs w:val="21"/>
                <w:highlight w:val="none"/>
              </w:rPr>
            </w:pPr>
            <w:r>
              <w:rPr>
                <w:rFonts w:hint="eastAsia" w:cs="Arial" w:asciiTheme="minorEastAsia" w:hAnsiTheme="minorEastAsia" w:eastAsiaTheme="minorEastAsia"/>
                <w:b/>
                <w:bCs/>
                <w:kern w:val="0"/>
                <w:szCs w:val="21"/>
                <w:highlight w:val="none"/>
              </w:rPr>
              <w:t>备注</w:t>
            </w:r>
          </w:p>
        </w:tc>
      </w:tr>
      <w:tr w14:paraId="7FE6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7807C33D">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1</w:t>
            </w:r>
          </w:p>
        </w:tc>
        <w:tc>
          <w:tcPr>
            <w:tcW w:w="1097" w:type="dxa"/>
            <w:shd w:val="clear" w:color="auto" w:fill="auto"/>
          </w:tcPr>
          <w:p w14:paraId="4E76004D">
            <w:pPr>
              <w:snapToGrid w:val="0"/>
              <w:jc w:val="center"/>
              <w:rPr>
                <w:rFonts w:cs="宋体" w:asciiTheme="minorEastAsia" w:hAnsiTheme="minorEastAsia" w:eastAsiaTheme="minorEastAsia"/>
                <w:szCs w:val="21"/>
                <w:highlight w:val="none"/>
              </w:rPr>
            </w:pPr>
          </w:p>
        </w:tc>
        <w:tc>
          <w:tcPr>
            <w:tcW w:w="3014" w:type="dxa"/>
            <w:shd w:val="clear" w:color="auto" w:fill="auto"/>
          </w:tcPr>
          <w:p w14:paraId="1A98E164">
            <w:pPr>
              <w:snapToGrid w:val="0"/>
              <w:jc w:val="center"/>
              <w:rPr>
                <w:rFonts w:cs="宋体" w:asciiTheme="minorEastAsia" w:hAnsiTheme="minorEastAsia" w:eastAsiaTheme="minorEastAsia"/>
                <w:szCs w:val="21"/>
                <w:highlight w:val="none"/>
              </w:rPr>
            </w:pPr>
          </w:p>
        </w:tc>
        <w:tc>
          <w:tcPr>
            <w:tcW w:w="1843" w:type="dxa"/>
            <w:shd w:val="clear" w:color="auto" w:fill="auto"/>
          </w:tcPr>
          <w:p w14:paraId="682D91B8">
            <w:pPr>
              <w:snapToGrid w:val="0"/>
              <w:jc w:val="center"/>
              <w:rPr>
                <w:rFonts w:cs="宋体" w:asciiTheme="minorEastAsia" w:hAnsiTheme="minorEastAsia" w:eastAsiaTheme="minorEastAsia"/>
                <w:szCs w:val="21"/>
                <w:highlight w:val="none"/>
              </w:rPr>
            </w:pPr>
          </w:p>
        </w:tc>
        <w:tc>
          <w:tcPr>
            <w:tcW w:w="1842" w:type="dxa"/>
            <w:shd w:val="clear" w:color="auto" w:fill="auto"/>
          </w:tcPr>
          <w:p w14:paraId="26A4E2E2">
            <w:pPr>
              <w:snapToGrid w:val="0"/>
              <w:jc w:val="center"/>
              <w:rPr>
                <w:rFonts w:cs="宋体" w:asciiTheme="minorEastAsia" w:hAnsiTheme="minorEastAsia" w:eastAsiaTheme="minorEastAsia"/>
                <w:szCs w:val="21"/>
                <w:highlight w:val="none"/>
              </w:rPr>
            </w:pPr>
          </w:p>
        </w:tc>
        <w:tc>
          <w:tcPr>
            <w:tcW w:w="1701" w:type="dxa"/>
            <w:shd w:val="clear" w:color="auto" w:fill="auto"/>
          </w:tcPr>
          <w:p w14:paraId="2D00E63F">
            <w:pPr>
              <w:snapToGrid w:val="0"/>
              <w:jc w:val="center"/>
              <w:rPr>
                <w:rFonts w:cs="宋体" w:asciiTheme="minorEastAsia" w:hAnsiTheme="minorEastAsia" w:eastAsiaTheme="minorEastAsia"/>
                <w:szCs w:val="21"/>
                <w:highlight w:val="none"/>
              </w:rPr>
            </w:pPr>
          </w:p>
        </w:tc>
        <w:tc>
          <w:tcPr>
            <w:tcW w:w="1134" w:type="dxa"/>
            <w:shd w:val="clear" w:color="auto" w:fill="auto"/>
          </w:tcPr>
          <w:p w14:paraId="27EA88C0">
            <w:pPr>
              <w:snapToGrid w:val="0"/>
              <w:jc w:val="center"/>
              <w:rPr>
                <w:rFonts w:cs="宋体" w:asciiTheme="minorEastAsia" w:hAnsiTheme="minorEastAsia" w:eastAsiaTheme="minorEastAsia"/>
                <w:szCs w:val="21"/>
                <w:highlight w:val="none"/>
              </w:rPr>
            </w:pPr>
          </w:p>
        </w:tc>
        <w:tc>
          <w:tcPr>
            <w:tcW w:w="1418" w:type="dxa"/>
            <w:shd w:val="clear" w:color="auto" w:fill="auto"/>
          </w:tcPr>
          <w:p w14:paraId="2E6AE1B0">
            <w:pPr>
              <w:snapToGrid w:val="0"/>
              <w:jc w:val="center"/>
              <w:rPr>
                <w:rFonts w:cs="宋体" w:asciiTheme="minorEastAsia" w:hAnsiTheme="minorEastAsia" w:eastAsiaTheme="minorEastAsia"/>
                <w:szCs w:val="21"/>
                <w:highlight w:val="none"/>
              </w:rPr>
            </w:pPr>
          </w:p>
        </w:tc>
        <w:tc>
          <w:tcPr>
            <w:tcW w:w="1226" w:type="dxa"/>
            <w:shd w:val="clear" w:color="auto" w:fill="auto"/>
          </w:tcPr>
          <w:p w14:paraId="3AFBCC37">
            <w:pPr>
              <w:snapToGrid w:val="0"/>
              <w:jc w:val="center"/>
              <w:rPr>
                <w:rFonts w:cs="宋体" w:asciiTheme="minorEastAsia" w:hAnsiTheme="minorEastAsia" w:eastAsiaTheme="minorEastAsia"/>
                <w:szCs w:val="21"/>
                <w:highlight w:val="none"/>
              </w:rPr>
            </w:pPr>
          </w:p>
        </w:tc>
      </w:tr>
      <w:tr w14:paraId="51929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19C6E0F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2</w:t>
            </w:r>
          </w:p>
        </w:tc>
        <w:tc>
          <w:tcPr>
            <w:tcW w:w="1097" w:type="dxa"/>
            <w:shd w:val="clear" w:color="auto" w:fill="auto"/>
          </w:tcPr>
          <w:p w14:paraId="08658E05">
            <w:pPr>
              <w:snapToGrid w:val="0"/>
              <w:jc w:val="center"/>
              <w:rPr>
                <w:rFonts w:cs="宋体" w:asciiTheme="minorEastAsia" w:hAnsiTheme="minorEastAsia" w:eastAsiaTheme="minorEastAsia"/>
                <w:szCs w:val="21"/>
                <w:highlight w:val="none"/>
              </w:rPr>
            </w:pPr>
          </w:p>
        </w:tc>
        <w:tc>
          <w:tcPr>
            <w:tcW w:w="3014" w:type="dxa"/>
            <w:shd w:val="clear" w:color="auto" w:fill="auto"/>
          </w:tcPr>
          <w:p w14:paraId="0ADBEEA3">
            <w:pPr>
              <w:snapToGrid w:val="0"/>
              <w:jc w:val="center"/>
              <w:rPr>
                <w:rFonts w:cs="宋体" w:asciiTheme="minorEastAsia" w:hAnsiTheme="minorEastAsia" w:eastAsiaTheme="minorEastAsia"/>
                <w:szCs w:val="21"/>
                <w:highlight w:val="none"/>
              </w:rPr>
            </w:pPr>
          </w:p>
        </w:tc>
        <w:tc>
          <w:tcPr>
            <w:tcW w:w="1843" w:type="dxa"/>
            <w:shd w:val="clear" w:color="auto" w:fill="auto"/>
          </w:tcPr>
          <w:p w14:paraId="1FA57069">
            <w:pPr>
              <w:snapToGrid w:val="0"/>
              <w:jc w:val="center"/>
              <w:rPr>
                <w:rFonts w:cs="宋体" w:asciiTheme="minorEastAsia" w:hAnsiTheme="minorEastAsia" w:eastAsiaTheme="minorEastAsia"/>
                <w:szCs w:val="21"/>
                <w:highlight w:val="none"/>
              </w:rPr>
            </w:pPr>
          </w:p>
        </w:tc>
        <w:tc>
          <w:tcPr>
            <w:tcW w:w="1842" w:type="dxa"/>
            <w:shd w:val="clear" w:color="auto" w:fill="auto"/>
          </w:tcPr>
          <w:p w14:paraId="02A3CE4F">
            <w:pPr>
              <w:snapToGrid w:val="0"/>
              <w:jc w:val="center"/>
              <w:rPr>
                <w:rFonts w:cs="宋体" w:asciiTheme="minorEastAsia" w:hAnsiTheme="minorEastAsia" w:eastAsiaTheme="minorEastAsia"/>
                <w:szCs w:val="21"/>
                <w:highlight w:val="none"/>
              </w:rPr>
            </w:pPr>
          </w:p>
        </w:tc>
        <w:tc>
          <w:tcPr>
            <w:tcW w:w="1701" w:type="dxa"/>
            <w:shd w:val="clear" w:color="auto" w:fill="auto"/>
          </w:tcPr>
          <w:p w14:paraId="6F336066">
            <w:pPr>
              <w:snapToGrid w:val="0"/>
              <w:jc w:val="center"/>
              <w:rPr>
                <w:rFonts w:cs="宋体" w:asciiTheme="minorEastAsia" w:hAnsiTheme="minorEastAsia" w:eastAsiaTheme="minorEastAsia"/>
                <w:szCs w:val="21"/>
                <w:highlight w:val="none"/>
              </w:rPr>
            </w:pPr>
          </w:p>
        </w:tc>
        <w:tc>
          <w:tcPr>
            <w:tcW w:w="1134" w:type="dxa"/>
            <w:shd w:val="clear" w:color="auto" w:fill="auto"/>
          </w:tcPr>
          <w:p w14:paraId="304AE6D1">
            <w:pPr>
              <w:snapToGrid w:val="0"/>
              <w:jc w:val="center"/>
              <w:rPr>
                <w:rFonts w:cs="宋体" w:asciiTheme="minorEastAsia" w:hAnsiTheme="minorEastAsia" w:eastAsiaTheme="minorEastAsia"/>
                <w:szCs w:val="21"/>
                <w:highlight w:val="none"/>
              </w:rPr>
            </w:pPr>
          </w:p>
        </w:tc>
        <w:tc>
          <w:tcPr>
            <w:tcW w:w="1418" w:type="dxa"/>
            <w:shd w:val="clear" w:color="auto" w:fill="auto"/>
          </w:tcPr>
          <w:p w14:paraId="1CEB8789">
            <w:pPr>
              <w:snapToGrid w:val="0"/>
              <w:jc w:val="center"/>
              <w:rPr>
                <w:rFonts w:cs="宋体" w:asciiTheme="minorEastAsia" w:hAnsiTheme="minorEastAsia" w:eastAsiaTheme="minorEastAsia"/>
                <w:szCs w:val="21"/>
                <w:highlight w:val="none"/>
              </w:rPr>
            </w:pPr>
          </w:p>
        </w:tc>
        <w:tc>
          <w:tcPr>
            <w:tcW w:w="1226" w:type="dxa"/>
            <w:shd w:val="clear" w:color="auto" w:fill="auto"/>
          </w:tcPr>
          <w:p w14:paraId="1664C03F">
            <w:pPr>
              <w:snapToGrid w:val="0"/>
              <w:jc w:val="center"/>
              <w:rPr>
                <w:rFonts w:cs="宋体" w:asciiTheme="minorEastAsia" w:hAnsiTheme="minorEastAsia" w:eastAsiaTheme="minorEastAsia"/>
                <w:szCs w:val="21"/>
                <w:highlight w:val="none"/>
              </w:rPr>
            </w:pPr>
          </w:p>
        </w:tc>
      </w:tr>
      <w:tr w14:paraId="3929F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09" w:type="dxa"/>
            <w:shd w:val="clear" w:color="auto" w:fill="auto"/>
          </w:tcPr>
          <w:p w14:paraId="0DACD457">
            <w:pPr>
              <w:snapToGrid w:val="0"/>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w:t>
            </w:r>
          </w:p>
        </w:tc>
        <w:tc>
          <w:tcPr>
            <w:tcW w:w="1097" w:type="dxa"/>
            <w:shd w:val="clear" w:color="auto" w:fill="auto"/>
          </w:tcPr>
          <w:p w14:paraId="6AB4B4EF">
            <w:pPr>
              <w:snapToGrid w:val="0"/>
              <w:jc w:val="center"/>
              <w:rPr>
                <w:rFonts w:cs="宋体" w:asciiTheme="minorEastAsia" w:hAnsiTheme="minorEastAsia" w:eastAsiaTheme="minorEastAsia"/>
                <w:szCs w:val="21"/>
                <w:highlight w:val="none"/>
              </w:rPr>
            </w:pPr>
          </w:p>
        </w:tc>
        <w:tc>
          <w:tcPr>
            <w:tcW w:w="3014" w:type="dxa"/>
            <w:shd w:val="clear" w:color="auto" w:fill="auto"/>
          </w:tcPr>
          <w:p w14:paraId="71A49682">
            <w:pPr>
              <w:snapToGrid w:val="0"/>
              <w:jc w:val="center"/>
              <w:rPr>
                <w:rFonts w:cs="宋体" w:asciiTheme="minorEastAsia" w:hAnsiTheme="minorEastAsia" w:eastAsiaTheme="minorEastAsia"/>
                <w:szCs w:val="21"/>
                <w:highlight w:val="none"/>
              </w:rPr>
            </w:pPr>
          </w:p>
        </w:tc>
        <w:tc>
          <w:tcPr>
            <w:tcW w:w="1843" w:type="dxa"/>
            <w:shd w:val="clear" w:color="auto" w:fill="auto"/>
          </w:tcPr>
          <w:p w14:paraId="396FB136">
            <w:pPr>
              <w:snapToGrid w:val="0"/>
              <w:jc w:val="center"/>
              <w:rPr>
                <w:rFonts w:cs="宋体" w:asciiTheme="minorEastAsia" w:hAnsiTheme="minorEastAsia" w:eastAsiaTheme="minorEastAsia"/>
                <w:szCs w:val="21"/>
                <w:highlight w:val="none"/>
              </w:rPr>
            </w:pPr>
          </w:p>
        </w:tc>
        <w:tc>
          <w:tcPr>
            <w:tcW w:w="1842" w:type="dxa"/>
            <w:shd w:val="clear" w:color="auto" w:fill="auto"/>
          </w:tcPr>
          <w:p w14:paraId="317FBE47">
            <w:pPr>
              <w:snapToGrid w:val="0"/>
              <w:jc w:val="center"/>
              <w:rPr>
                <w:rFonts w:cs="宋体" w:asciiTheme="minorEastAsia" w:hAnsiTheme="minorEastAsia" w:eastAsiaTheme="minorEastAsia"/>
                <w:szCs w:val="21"/>
                <w:highlight w:val="none"/>
              </w:rPr>
            </w:pPr>
          </w:p>
        </w:tc>
        <w:tc>
          <w:tcPr>
            <w:tcW w:w="1701" w:type="dxa"/>
            <w:shd w:val="clear" w:color="auto" w:fill="auto"/>
          </w:tcPr>
          <w:p w14:paraId="07B7FA0C">
            <w:pPr>
              <w:snapToGrid w:val="0"/>
              <w:jc w:val="center"/>
              <w:rPr>
                <w:rFonts w:cs="宋体" w:asciiTheme="minorEastAsia" w:hAnsiTheme="minorEastAsia" w:eastAsiaTheme="minorEastAsia"/>
                <w:szCs w:val="21"/>
                <w:highlight w:val="none"/>
              </w:rPr>
            </w:pPr>
          </w:p>
        </w:tc>
        <w:tc>
          <w:tcPr>
            <w:tcW w:w="1134" w:type="dxa"/>
            <w:shd w:val="clear" w:color="auto" w:fill="auto"/>
          </w:tcPr>
          <w:p w14:paraId="29345FF9">
            <w:pPr>
              <w:snapToGrid w:val="0"/>
              <w:jc w:val="center"/>
              <w:rPr>
                <w:rFonts w:cs="宋体" w:asciiTheme="minorEastAsia" w:hAnsiTheme="minorEastAsia" w:eastAsiaTheme="minorEastAsia"/>
                <w:szCs w:val="21"/>
                <w:highlight w:val="none"/>
              </w:rPr>
            </w:pPr>
          </w:p>
        </w:tc>
        <w:tc>
          <w:tcPr>
            <w:tcW w:w="1418" w:type="dxa"/>
            <w:shd w:val="clear" w:color="auto" w:fill="auto"/>
          </w:tcPr>
          <w:p w14:paraId="36CDB262">
            <w:pPr>
              <w:snapToGrid w:val="0"/>
              <w:jc w:val="center"/>
              <w:rPr>
                <w:rFonts w:cs="宋体" w:asciiTheme="minorEastAsia" w:hAnsiTheme="minorEastAsia" w:eastAsiaTheme="minorEastAsia"/>
                <w:szCs w:val="21"/>
                <w:highlight w:val="none"/>
              </w:rPr>
            </w:pPr>
          </w:p>
        </w:tc>
        <w:tc>
          <w:tcPr>
            <w:tcW w:w="1226" w:type="dxa"/>
            <w:shd w:val="clear" w:color="auto" w:fill="auto"/>
          </w:tcPr>
          <w:p w14:paraId="1C63C343">
            <w:pPr>
              <w:snapToGrid w:val="0"/>
              <w:jc w:val="center"/>
              <w:rPr>
                <w:rFonts w:cs="宋体" w:asciiTheme="minorEastAsia" w:hAnsiTheme="minorEastAsia" w:eastAsiaTheme="minorEastAsia"/>
                <w:szCs w:val="21"/>
                <w:highlight w:val="none"/>
              </w:rPr>
            </w:pPr>
          </w:p>
        </w:tc>
      </w:tr>
      <w:tr w14:paraId="676F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206" w:type="dxa"/>
            <w:gridSpan w:val="6"/>
            <w:shd w:val="clear" w:color="auto" w:fill="auto"/>
            <w:vAlign w:val="center"/>
          </w:tcPr>
          <w:p w14:paraId="444C2F0F">
            <w:pPr>
              <w:snapToGrid w:val="0"/>
              <w:jc w:val="left"/>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总计</w:t>
            </w:r>
          </w:p>
        </w:tc>
        <w:tc>
          <w:tcPr>
            <w:tcW w:w="3778" w:type="dxa"/>
            <w:gridSpan w:val="3"/>
            <w:shd w:val="clear" w:color="auto" w:fill="auto"/>
            <w:vAlign w:val="center"/>
          </w:tcPr>
          <w:p w14:paraId="2AE2C300">
            <w:pPr>
              <w:snapToGrid w:val="0"/>
              <w:jc w:val="center"/>
              <w:rPr>
                <w:rFonts w:cs="宋体" w:asciiTheme="minorEastAsia" w:hAnsiTheme="minorEastAsia" w:eastAsiaTheme="minorEastAsia"/>
                <w:szCs w:val="21"/>
                <w:highlight w:val="none"/>
                <w:u w:val="single"/>
              </w:rPr>
            </w:pPr>
          </w:p>
        </w:tc>
      </w:tr>
    </w:tbl>
    <w:p w14:paraId="07120294">
      <w:pPr>
        <w:spacing w:line="440" w:lineRule="exact"/>
        <w:ind w:firstLine="1274" w:firstLineChars="607"/>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val="en-US" w:eastAsia="zh-CN"/>
        </w:rPr>
        <w:t>供应商</w:t>
      </w:r>
      <w:r>
        <w:rPr>
          <w:rFonts w:hint="eastAsia" w:asciiTheme="minorEastAsia" w:hAnsiTheme="minorEastAsia" w:eastAsiaTheme="minorEastAsia"/>
          <w:szCs w:val="21"/>
          <w:highlight w:val="none"/>
        </w:rPr>
        <w:t>名称：</w:t>
      </w:r>
      <w:r>
        <w:rPr>
          <w:rFonts w:hint="eastAsia" w:asciiTheme="minorEastAsia" w:hAnsiTheme="minorEastAsia" w:eastAsiaTheme="minorEastAsia"/>
          <w:szCs w:val="21"/>
          <w:highlight w:val="none"/>
          <w:u w:val="single"/>
        </w:rPr>
        <w:t xml:space="preserve">　　　　　　　　            </w:t>
      </w:r>
    </w:p>
    <w:p w14:paraId="537114C3">
      <w:pPr>
        <w:spacing w:line="440" w:lineRule="exact"/>
        <w:ind w:firstLine="1274" w:firstLineChars="607"/>
        <w:jc w:val="left"/>
        <w:rPr>
          <w:rFonts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23CB4561">
      <w:pPr>
        <w:adjustRightInd w:val="0"/>
        <w:snapToGrid w:val="0"/>
        <w:spacing w:line="440" w:lineRule="exact"/>
        <w:ind w:right="210"/>
        <w:jc w:val="left"/>
        <w:rPr>
          <w:rFonts w:asciiTheme="minorEastAsia" w:hAnsiTheme="minorEastAsia" w:eastAsiaTheme="minorEastAsia"/>
          <w:szCs w:val="21"/>
          <w:highlight w:val="none"/>
        </w:rPr>
      </w:pPr>
      <w:r>
        <w:rPr>
          <w:rFonts w:hint="eastAsia"/>
          <w:highlight w:val="none"/>
        </w:rPr>
        <w:t xml:space="preserve"> [</w:t>
      </w:r>
      <w:r>
        <w:rPr>
          <w:rFonts w:hint="eastAsia" w:ascii="Times New Roman" w:eastAsia="宋体"/>
          <w:highlight w:val="none"/>
          <w:lang w:val="en-US" w:eastAsia="zh-CN"/>
        </w:rPr>
        <w:t>采购人</w:t>
      </w:r>
      <w:r>
        <w:rPr>
          <w:rFonts w:hint="eastAsia"/>
          <w:highlight w:val="none"/>
        </w:rPr>
        <w:t>可根据项目实际情况修改本文件中的条款、增加新的条款。]</w:t>
      </w:r>
    </w:p>
    <w:p w14:paraId="20542D68">
      <w:pPr>
        <w:topLinePunct/>
        <w:spacing w:line="440" w:lineRule="exact"/>
        <w:ind w:left="424" w:hanging="424" w:hangingChars="201"/>
        <w:jc w:val="left"/>
        <w:rPr>
          <w:rFonts w:asciiTheme="minorEastAsia" w:hAnsiTheme="minorEastAsia" w:eastAsiaTheme="minorEastAsia"/>
          <w:b/>
          <w:highlight w:val="none"/>
        </w:rPr>
      </w:pPr>
      <w:r>
        <w:rPr>
          <w:rFonts w:hint="eastAsia" w:asciiTheme="minorEastAsia" w:hAnsiTheme="minorEastAsia" w:eastAsiaTheme="minorEastAsia"/>
          <w:b/>
          <w:highlight w:val="none"/>
        </w:rPr>
        <w:t>编制要求：</w:t>
      </w:r>
    </w:p>
    <w:p w14:paraId="454B35DA">
      <w:pPr>
        <w:numPr>
          <w:ilvl w:val="0"/>
          <w:numId w:val="18"/>
        </w:numPr>
        <w:topLinePunct/>
        <w:spacing w:line="440" w:lineRule="exact"/>
        <w:ind w:left="422" w:hanging="422" w:hangingChars="201"/>
        <w:jc w:val="left"/>
        <w:rPr>
          <w:rFonts w:asciiTheme="minorEastAsia" w:hAnsiTheme="minorEastAsia" w:eastAsiaTheme="minorEastAsia"/>
          <w:highlight w:val="none"/>
        </w:rPr>
      </w:pPr>
      <w:r>
        <w:rPr>
          <w:rFonts w:hint="eastAsia" w:asciiTheme="minorEastAsia" w:hAnsiTheme="minorEastAsia" w:eastAsiaTheme="minorEastAsia"/>
          <w:highlight w:val="none"/>
          <w:lang w:val="en-US" w:eastAsia="zh-CN"/>
        </w:rPr>
        <w:t>应按询比</w:t>
      </w:r>
      <w:r>
        <w:rPr>
          <w:rFonts w:hint="eastAsia" w:asciiTheme="minorEastAsia" w:hAnsiTheme="minorEastAsia" w:eastAsiaTheme="minorEastAsia"/>
          <w:highlight w:val="none"/>
        </w:rPr>
        <w:t>文件要求提供销售业绩证明文件，证明文件顺序应与“业绩情况表”一一对应。</w:t>
      </w:r>
    </w:p>
    <w:p w14:paraId="3FB78535">
      <w:pPr>
        <w:numPr>
          <w:ilvl w:val="0"/>
          <w:numId w:val="18"/>
        </w:numPr>
        <w:topLinePunct/>
        <w:spacing w:line="440" w:lineRule="exact"/>
        <w:ind w:left="360" w:hanging="360"/>
        <w:jc w:val="left"/>
        <w:rPr>
          <w:rFonts w:asciiTheme="minorEastAsia" w:hAnsiTheme="minorEastAsia" w:eastAsiaTheme="minorEastAsia"/>
          <w:highlight w:val="none"/>
        </w:rPr>
      </w:pPr>
      <w:r>
        <w:rPr>
          <w:rFonts w:hint="eastAsia" w:ascii="Times New Roman" w:eastAsia="宋体"/>
          <w:highlight w:val="none"/>
          <w:lang w:val="en-US" w:eastAsia="zh-CN"/>
        </w:rPr>
        <w:t>供应商</w:t>
      </w:r>
      <w:r>
        <w:rPr>
          <w:rFonts w:hint="eastAsia"/>
          <w:highlight w:val="none"/>
        </w:rPr>
        <w:t>可以根据实际情况对本文件进行调整和修改，但应满足</w:t>
      </w:r>
      <w:r>
        <w:rPr>
          <w:rFonts w:hint="eastAsia" w:ascii="Times New Roman" w:eastAsia="宋体"/>
          <w:highlight w:val="none"/>
          <w:lang w:val="en-US" w:eastAsia="zh-CN"/>
        </w:rPr>
        <w:t>询比</w:t>
      </w:r>
      <w:r>
        <w:rPr>
          <w:rFonts w:hint="eastAsia"/>
          <w:highlight w:val="none"/>
        </w:rPr>
        <w:t>文件对本文件的要求。</w:t>
      </w:r>
    </w:p>
    <w:p w14:paraId="65FF9A35">
      <w:pPr>
        <w:numPr>
          <w:ilvl w:val="0"/>
          <w:numId w:val="18"/>
        </w:numPr>
        <w:topLinePunct/>
        <w:spacing w:line="440" w:lineRule="exact"/>
        <w:jc w:val="left"/>
        <w:rPr>
          <w:rFonts w:hint="eastAsia"/>
          <w:highlight w:val="none"/>
          <w:lang w:val="en-US" w:eastAsia="zh-CN"/>
        </w:rPr>
        <w:sectPr>
          <w:pgSz w:w="16838" w:h="11906" w:orient="landscape"/>
          <w:pgMar w:top="1800" w:right="1440" w:bottom="1800" w:left="1440" w:header="851" w:footer="992" w:gutter="0"/>
          <w:pgNumType w:fmt="decimal"/>
          <w:cols w:space="425" w:num="1"/>
          <w:docGrid w:type="lines" w:linePitch="312" w:charSpace="0"/>
        </w:sectPr>
      </w:pPr>
      <w:r>
        <w:rPr>
          <w:rFonts w:hint="eastAsia" w:ascii="Times New Roman" w:eastAsia="宋体"/>
          <w:highlight w:val="none"/>
          <w:lang w:val="en-US" w:eastAsia="zh-CN"/>
        </w:rPr>
        <w:t>首台（套）重大技术装备参加询比响应，可以不填报具体业绩，但须提供首台（套）重大技术装备认定相应证明文件包括但不限于相关行政部门颁发的认定证书、认定通知或公告等</w:t>
      </w:r>
    </w:p>
    <w:bookmarkEnd w:id="2071"/>
    <w:p w14:paraId="2C851F5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072" w:name="_Toc17238"/>
      <w:bookmarkStart w:id="2073" w:name="_Toc16589"/>
      <w:bookmarkStart w:id="2074" w:name="_Toc28202"/>
      <w:bookmarkStart w:id="2075" w:name="_Toc18359"/>
      <w:bookmarkStart w:id="2076" w:name="_Toc29134"/>
      <w:bookmarkStart w:id="2077" w:name="_Toc22551"/>
      <w:bookmarkStart w:id="2078" w:name="_Toc23277"/>
      <w:bookmarkStart w:id="2079" w:name="_Toc11818"/>
      <w:bookmarkStart w:id="2080" w:name="_Toc21327"/>
      <w:bookmarkStart w:id="2081" w:name="_Toc16775"/>
      <w:bookmarkStart w:id="2082" w:name="_Toc21053"/>
      <w:bookmarkStart w:id="2083" w:name="_Toc5547"/>
      <w:bookmarkStart w:id="2084" w:name="_Toc21346"/>
      <w:bookmarkStart w:id="2085" w:name="_Toc11934"/>
      <w:r>
        <w:rPr>
          <w:rFonts w:hint="eastAsia" w:cs="Times New Roman" w:asciiTheme="minorEastAsia" w:hAnsiTheme="minorEastAsia" w:eastAsiaTheme="minorEastAsia"/>
          <w:b/>
          <w:bCs/>
          <w:kern w:val="2"/>
          <w:sz w:val="24"/>
          <w:szCs w:val="24"/>
          <w:lang w:val="en-US" w:eastAsia="zh-CN" w:bidi="ar-SA"/>
        </w:rPr>
        <w:t>21.</w:t>
      </w:r>
      <w:r>
        <w:rPr>
          <w:rFonts w:hint="eastAsia" w:asciiTheme="minorEastAsia" w:hAnsiTheme="minorEastAsia" w:eastAsiaTheme="minorEastAsia"/>
          <w:sz w:val="24"/>
          <w:szCs w:val="24"/>
          <w:highlight w:val="none"/>
        </w:rPr>
        <w:t>知识产权不侵权承诺函</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p>
    <w:p w14:paraId="63F32619">
      <w:pPr>
        <w:ind w:firstLine="562"/>
        <w:jc w:val="center"/>
        <w:rPr>
          <w:rFonts w:asciiTheme="minorEastAsia" w:hAnsiTheme="minorEastAsia" w:eastAsiaTheme="minorEastAsia"/>
          <w:b/>
          <w:sz w:val="24"/>
          <w:szCs w:val="30"/>
          <w:highlight w:val="none"/>
        </w:rPr>
      </w:pPr>
      <w:r>
        <w:rPr>
          <w:rFonts w:hint="eastAsia" w:asciiTheme="minorEastAsia" w:hAnsiTheme="minorEastAsia" w:eastAsiaTheme="minorEastAsia"/>
          <w:b/>
          <w:sz w:val="24"/>
          <w:szCs w:val="30"/>
          <w:highlight w:val="none"/>
          <w:lang w:val="en-US" w:eastAsia="zh-CN"/>
        </w:rPr>
        <w:t>知识产权不侵权承诺</w:t>
      </w:r>
      <w:r>
        <w:rPr>
          <w:rFonts w:hint="eastAsia" w:asciiTheme="minorEastAsia" w:hAnsiTheme="minorEastAsia" w:eastAsiaTheme="minorEastAsia"/>
          <w:b/>
          <w:sz w:val="24"/>
          <w:szCs w:val="30"/>
          <w:highlight w:val="none"/>
        </w:rPr>
        <w:t>函</w:t>
      </w:r>
    </w:p>
    <w:p w14:paraId="69B7CCAD">
      <w:pPr>
        <w:keepNext w:val="0"/>
        <w:keepLines w:val="0"/>
        <w:pageBreakBefore w:val="0"/>
        <w:widowControl/>
        <w:kinsoku/>
        <w:wordWrap/>
        <w:overflowPunct/>
        <w:topLinePunct w:val="0"/>
        <w:bidi w:val="0"/>
        <w:spacing w:line="440" w:lineRule="exact"/>
        <w:ind w:firstLine="420" w:firstLineChars="200"/>
        <w:jc w:val="left"/>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致：【中国电信[   ]公司】：</w:t>
      </w:r>
    </w:p>
    <w:p w14:paraId="5ADC9826">
      <w:pPr>
        <w:pStyle w:val="17"/>
        <w:keepNext w:val="0"/>
        <w:keepLines w:val="0"/>
        <w:pageBreakBefore w:val="0"/>
        <w:kinsoku/>
        <w:wordWrap/>
        <w:overflowPunct/>
        <w:topLinePunct w:val="0"/>
        <w:bidi w:val="0"/>
        <w:spacing w:after="0" w:line="440" w:lineRule="exact"/>
        <w:ind w:left="0" w:firstLine="420" w:firstLineChars="200"/>
        <w:jc w:val="left"/>
        <w:textAlignment w:val="auto"/>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本单位郑重承诺遵守本知识产权不侵权承诺书，如违反，本单位承担由此带来的一切责任。</w:t>
      </w:r>
    </w:p>
    <w:p w14:paraId="6A381D7A">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就【（采购项目名称）】（“本项目”），本单位承诺按照</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及合同</w:t>
      </w:r>
      <w:r>
        <w:rPr>
          <w:rFonts w:asciiTheme="minorEastAsia" w:hAnsiTheme="minorEastAsia" w:eastAsiaTheme="minorEastAsia"/>
          <w:color w:val="000000" w:themeColor="text1"/>
          <w:kern w:val="0"/>
          <w:szCs w:val="21"/>
          <w:highlight w:val="none"/>
          <w14:textFill>
            <w14:solidFill>
              <w14:schemeClr w14:val="tx1"/>
            </w14:solidFill>
          </w14:textFill>
        </w:rPr>
        <w:t>/协议</w:t>
      </w:r>
      <w:r>
        <w:rPr>
          <w:rFonts w:hint="eastAsia" w:asciiTheme="minorEastAsia" w:hAnsiTheme="minorEastAsia" w:eastAsiaTheme="minorEastAsia"/>
          <w:color w:val="000000" w:themeColor="text1"/>
          <w:kern w:val="0"/>
          <w:szCs w:val="21"/>
          <w:highlight w:val="none"/>
          <w14:textFill>
            <w14:solidFill>
              <w14:schemeClr w14:val="tx1"/>
            </w14:solidFill>
          </w14:textFill>
        </w:rPr>
        <w:t>履行知识产权</w:t>
      </w:r>
      <w:r>
        <w:rPr>
          <w:rFonts w:hint="eastAsia" w:asciiTheme="minorEastAsia" w:hAnsiTheme="minorEastAsia" w:eastAsiaTheme="minorEastAsia"/>
          <w:color w:val="000000" w:themeColor="text1"/>
          <w:szCs w:val="21"/>
          <w:highlight w:val="none"/>
          <w14:textFill>
            <w14:solidFill>
              <w14:schemeClr w14:val="tx1"/>
            </w14:solidFill>
          </w14:textFill>
        </w:rPr>
        <w:t>相关义务和责任</w:t>
      </w:r>
      <w:r>
        <w:rPr>
          <w:rFonts w:hint="eastAsia" w:asciiTheme="minorEastAsia" w:hAnsiTheme="minorEastAsia" w:eastAsiaTheme="minorEastAsia"/>
          <w:color w:val="000000" w:themeColor="text1"/>
          <w:kern w:val="0"/>
          <w:szCs w:val="21"/>
          <w:highlight w:val="none"/>
          <w14:textFill>
            <w14:solidFill>
              <w14:schemeClr w14:val="tx1"/>
            </w14:solidFill>
          </w14:textFill>
        </w:rPr>
        <w:t>。</w:t>
      </w:r>
    </w:p>
    <w:p w14:paraId="226DE29C">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本单位承诺并保证，本项目</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参与询比的</w:t>
      </w:r>
      <w:r>
        <w:rPr>
          <w:rFonts w:hint="eastAsia" w:asciiTheme="minorEastAsia" w:hAnsiTheme="minorEastAsia" w:eastAsiaTheme="minorEastAsia"/>
          <w:color w:val="000000" w:themeColor="text1"/>
          <w:kern w:val="0"/>
          <w:szCs w:val="21"/>
          <w:highlight w:val="none"/>
          <w14:textFill>
            <w14:solidFill>
              <w14:schemeClr w14:val="tx1"/>
            </w14:solidFill>
          </w14:textFill>
        </w:rPr>
        <w:t>产品以及本单位向贵公司交付的所有</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项目</w:t>
      </w:r>
      <w:r>
        <w:rPr>
          <w:rFonts w:hint="eastAsia" w:asciiTheme="minorEastAsia" w:hAnsiTheme="minorEastAsia" w:eastAsiaTheme="minorEastAsia"/>
          <w:color w:val="000000" w:themeColor="text1"/>
          <w:kern w:val="0"/>
          <w:szCs w:val="21"/>
          <w:highlight w:val="none"/>
          <w14:textFill>
            <w14:solidFill>
              <w14:schemeClr w14:val="tx1"/>
            </w14:solidFill>
          </w14:textFill>
        </w:rPr>
        <w:t>产品相关成果（合称“项目标的”），本单位均享有合法的知识产权和所有权，或者已从相关权利人获得合法充分的授权。本单位按照本项目</w:t>
      </w:r>
      <w:r>
        <w:rPr>
          <w:rFonts w:hint="eastAsia" w:asciiTheme="minorEastAsia" w:hAnsiTheme="minorEastAsia" w:eastAsiaTheme="minorEastAsia"/>
          <w:color w:val="000000" w:themeColor="text1"/>
          <w:kern w:val="0"/>
          <w:szCs w:val="21"/>
          <w:highlight w:val="none"/>
          <w:lang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合同/协议约定将项目标的交付给贵公司以及贵公司采购、占有、使用、收益和处分项目标的不侵犯任何第三方的权利和合法权益，包括但不限于商标、专利、著作权等知识产权、专利申请权和所有权。本单位承诺向贵公司提供真实、有效、合法的权利证明文件。</w:t>
      </w:r>
    </w:p>
    <w:p w14:paraId="4BBCFB70">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本项目报价已包含了项目标的知识产权及所有权利的一切授权费用。本单位承诺按</w:t>
      </w:r>
      <w:r>
        <w:rPr>
          <w:rFonts w:hint="eastAsia" w:asciiTheme="minorEastAsia" w:hAnsiTheme="minorEastAsia" w:eastAsiaTheme="minorEastAsia"/>
          <w:color w:val="000000" w:themeColor="text1"/>
          <w:kern w:val="0"/>
          <w:szCs w:val="21"/>
          <w:highlight w:val="none"/>
          <w:lang w:eastAsia="zh-CN"/>
          <w14:textFill>
            <w14:solidFill>
              <w14:schemeClr w14:val="tx1"/>
            </w14:solidFill>
          </w14:textFill>
        </w:rPr>
        <w:t>询比文件</w:t>
      </w:r>
      <w:r>
        <w:rPr>
          <w:rFonts w:hint="eastAsia" w:asciiTheme="minorEastAsia" w:hAnsiTheme="minorEastAsia" w:eastAsiaTheme="minorEastAsia"/>
          <w:color w:val="000000" w:themeColor="text1"/>
          <w:kern w:val="0"/>
          <w:szCs w:val="21"/>
          <w:highlight w:val="none"/>
          <w14:textFill>
            <w14:solidFill>
              <w14:schemeClr w14:val="tx1"/>
            </w14:solidFill>
          </w14:textFill>
        </w:rPr>
        <w:t>及</w:t>
      </w:r>
      <w:r>
        <w:rPr>
          <w:rFonts w:hint="eastAsia" w:asciiTheme="minorEastAsia" w:hAnsiTheme="minorEastAsia" w:eastAsiaTheme="minorEastAsia"/>
          <w:color w:val="000000" w:themeColor="text1"/>
          <w:szCs w:val="21"/>
          <w:highlight w:val="none"/>
          <w14:textFill>
            <w14:solidFill>
              <w14:schemeClr w14:val="tx1"/>
            </w14:solidFill>
          </w14:textFill>
        </w:rPr>
        <w:t>合同/协议</w:t>
      </w:r>
      <w:r>
        <w:rPr>
          <w:rFonts w:hint="eastAsia" w:asciiTheme="minorEastAsia" w:hAnsiTheme="minorEastAsia" w:eastAsiaTheme="minorEastAsia"/>
          <w:color w:val="000000" w:themeColor="text1"/>
          <w:kern w:val="0"/>
          <w:szCs w:val="21"/>
          <w:highlight w:val="none"/>
          <w14:textFill>
            <w14:solidFill>
              <w14:schemeClr w14:val="tx1"/>
            </w14:solidFill>
          </w14:textFill>
        </w:rPr>
        <w:t>约定向贵公司提供技术文档并提供技术支持。</w:t>
      </w:r>
    </w:p>
    <w:p w14:paraId="26967BAB">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如果有人提出法律或行政程序(合称“侵权指控”)，声称</w:t>
      </w:r>
      <w:r>
        <w:rPr>
          <w:rFonts w:hint="eastAsia" w:asciiTheme="minorEastAsia" w:hAnsiTheme="minorEastAsia" w:eastAsiaTheme="minorEastAsia"/>
          <w:color w:val="000000" w:themeColor="text1"/>
          <w:szCs w:val="21"/>
          <w:highlight w:val="none"/>
          <w14:textFill>
            <w14:solidFill>
              <w14:schemeClr w14:val="tx1"/>
            </w14:solidFill>
          </w14:textFill>
        </w:rPr>
        <w:t>贵公司或</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贵公司客户</w:t>
      </w:r>
      <w:r>
        <w:rPr>
          <w:rFonts w:hint="eastAsia" w:asciiTheme="minorEastAsia" w:hAnsiTheme="minorEastAsia" w:eastAsiaTheme="minorEastAsia"/>
          <w:color w:val="000000" w:themeColor="text1"/>
          <w:szCs w:val="21"/>
          <w:highlight w:val="none"/>
          <w14:textFill>
            <w14:solidFill>
              <w14:schemeClr w14:val="tx1"/>
            </w14:solidFill>
          </w14:textFill>
        </w:rPr>
        <w:t>（含最终客户，下同）采购、占有、使用、收益或处分项目标的</w:t>
      </w:r>
      <w:r>
        <w:rPr>
          <w:rFonts w:hint="eastAsia" w:asciiTheme="minorEastAsia" w:hAnsiTheme="minorEastAsia" w:eastAsiaTheme="minorEastAsia"/>
          <w:color w:val="000000" w:themeColor="text1"/>
          <w:kern w:val="0"/>
          <w:szCs w:val="21"/>
          <w:highlight w:val="none"/>
          <w14:textFill>
            <w14:solidFill>
              <w14:schemeClr w14:val="tx1"/>
            </w14:solidFill>
          </w14:textFill>
        </w:rPr>
        <w:t>侵犯了其知识产权等合法权益的，由本单位负责解决，并赔偿</w:t>
      </w:r>
      <w:r>
        <w:rPr>
          <w:rFonts w:hint="eastAsia" w:asciiTheme="minorEastAsia" w:hAnsiTheme="minorEastAsia" w:eastAsiaTheme="minorEastAsia"/>
          <w:color w:val="000000" w:themeColor="text1"/>
          <w:szCs w:val="21"/>
          <w:highlight w:val="none"/>
          <w14:textFill>
            <w14:solidFill>
              <w14:schemeClr w14:val="tx1"/>
            </w14:solidFill>
          </w14:textFill>
        </w:rPr>
        <w:t>贵公司或</w:t>
      </w:r>
      <w:r>
        <w:rPr>
          <w:rFonts w:hint="eastAsia" w:asciiTheme="minorEastAsia" w:hAnsiTheme="minorEastAsia" w:eastAsiaTheme="minorEastAsia"/>
          <w:color w:val="000000" w:themeColor="text1"/>
          <w:szCs w:val="21"/>
          <w:highlight w:val="none"/>
          <w:lang w:eastAsia="zh-CN"/>
          <w14:textFill>
            <w14:solidFill>
              <w14:schemeClr w14:val="tx1"/>
            </w14:solidFill>
          </w14:textFill>
        </w:rPr>
        <w:t>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就此所承担的一切损失和费用，包括但不限于上述侵权指控中所产生的诉讼费用、合理的律师费用、调查费用、和解金额或生效法律文书中规定的赔偿金额。</w:t>
      </w:r>
    </w:p>
    <w:p w14:paraId="0DE30A26">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如果在侵权指控的审理过程中有关机关禁止贵公司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继续使用项目标的的部分或全部的，本单位承诺采取以下措施：</w:t>
      </w:r>
    </w:p>
    <w:p w14:paraId="4859B3E1">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（1）贵公司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免费获得使用项目标的的权利，或</w:t>
      </w:r>
    </w:p>
    <w:p w14:paraId="34D3B1F2">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（2）免费更换或改造项目标的，使贵公司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不受上述禁令限制继续使用项目标的，或</w:t>
      </w:r>
    </w:p>
    <w:p w14:paraId="3244486B">
      <w:pPr>
        <w:keepNext w:val="0"/>
        <w:keepLines w:val="0"/>
        <w:pageBreakBefore w:val="0"/>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（3）其他使贵公司</w:t>
      </w:r>
      <w:r>
        <w:rPr>
          <w:rFonts w:hint="eastAsia" w:asciiTheme="minorEastAsia" w:hAnsiTheme="minorEastAsia" w:eastAsiaTheme="minorEastAsia"/>
          <w:color w:val="000000" w:themeColor="text1"/>
          <w:szCs w:val="21"/>
          <w:highlight w:val="none"/>
          <w14:textFill>
            <w14:solidFill>
              <w14:schemeClr w14:val="tx1"/>
            </w14:solidFill>
          </w14:textFill>
        </w:rPr>
        <w:t>或贵公司客户</w:t>
      </w:r>
      <w:r>
        <w:rPr>
          <w:rFonts w:hint="eastAsia" w:asciiTheme="minorEastAsia" w:hAnsiTheme="minorEastAsia" w:eastAsiaTheme="minorEastAsia"/>
          <w:color w:val="000000" w:themeColor="text1"/>
          <w:kern w:val="0"/>
          <w:szCs w:val="21"/>
          <w:highlight w:val="none"/>
          <w14:textFill>
            <w14:solidFill>
              <w14:schemeClr w14:val="tx1"/>
            </w14:solidFill>
          </w14:textFill>
        </w:rPr>
        <w:t>对项目标的拥有合法使用权，或其他弥补贵公司或贵公司客户受损利益、实现合同目的的合理方式。</w:t>
      </w:r>
    </w:p>
    <w:p w14:paraId="01248CEE">
      <w:pPr>
        <w:pStyle w:val="89"/>
        <w:keepNext w:val="0"/>
        <w:keepLines w:val="0"/>
        <w:pageBreakBefore w:val="0"/>
        <w:kinsoku/>
        <w:wordWrap/>
        <w:overflowPunct/>
        <w:topLinePunct w:val="0"/>
        <w:bidi w:val="0"/>
        <w:snapToGrid w:val="0"/>
        <w:spacing w:line="440" w:lineRule="exact"/>
        <w:ind w:firstLine="411" w:firstLineChars="196"/>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本单位采取上述措施不能免除本单位就贵公司和/或贵公司客户因此遭受的损失进行赔偿的义务。</w:t>
      </w:r>
    </w:p>
    <w:p w14:paraId="6B182B5A">
      <w:pPr>
        <w:keepNext w:val="0"/>
        <w:keepLines w:val="0"/>
        <w:pageBreakBefore w:val="0"/>
        <w:numPr>
          <w:ilvl w:val="0"/>
          <w:numId w:val="19"/>
        </w:numPr>
        <w:kinsoku/>
        <w:wordWrap/>
        <w:overflowPunct/>
        <w:topLinePunct w:val="0"/>
        <w:bidi w:val="0"/>
        <w:spacing w:line="440" w:lineRule="exact"/>
        <w:ind w:firstLine="420"/>
        <w:jc w:val="left"/>
        <w:textAlignment w:val="auto"/>
        <w:rPr>
          <w:rFonts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本单位承诺本单位及本单位所代表的制造商（如有）、相关权利人（如有，相关权利人包括但不限于软件著作权权利人、商标权权利人、专利权权利人、专利申请权权利人，下同）接受</w:t>
      </w:r>
      <w:r>
        <w:rPr>
          <w:rFonts w:hint="eastAsia" w:asciiTheme="minorEastAsia" w:hAnsiTheme="minorEastAsia" w:eastAsiaTheme="minorEastAsia"/>
          <w:color w:val="000000" w:themeColor="text1"/>
          <w:kern w:val="0"/>
          <w:szCs w:val="21"/>
          <w:highlight w:val="none"/>
          <w:lang w:val="en-US" w:eastAsia="zh-CN"/>
          <w14:textFill>
            <w14:solidFill>
              <w14:schemeClr w14:val="tx1"/>
            </w14:solidFill>
          </w14:textFill>
        </w:rPr>
        <w:t>最新</w:t>
      </w:r>
      <w:r>
        <w:rPr>
          <w:rFonts w:hint="eastAsia" w:asciiTheme="minorEastAsia" w:hAnsiTheme="minorEastAsia" w:eastAsiaTheme="minorEastAsia"/>
          <w:color w:val="000000" w:themeColor="text1"/>
          <w:kern w:val="0"/>
          <w:szCs w:val="21"/>
          <w:highlight w:val="none"/>
          <w14:textFill>
            <w14:solidFill>
              <w14:schemeClr w14:val="tx1"/>
            </w14:solidFill>
          </w14:textFill>
        </w:rPr>
        <w:t>的《中国电信供应商不良行为管理规则》（发布于“中国电信阳光采购网”[https://caigou.chinatelecom.com.cn]）的约束，贵公司有权按照《中国电信供应商不良行为管理规则》，对本单位和/或上述制造商、权利人进行不良行为管理和处理。</w:t>
      </w:r>
    </w:p>
    <w:p w14:paraId="5B1F77DE">
      <w:pPr>
        <w:keepNext w:val="0"/>
        <w:keepLines w:val="0"/>
        <w:pageBreakBefore w:val="0"/>
        <w:numPr>
          <w:ilvl w:val="0"/>
          <w:numId w:val="19"/>
        </w:numPr>
        <w:kinsoku/>
        <w:wordWrap/>
        <w:overflowPunct/>
        <w:topLinePunct w:val="0"/>
        <w:bidi w:val="0"/>
        <w:spacing w:line="440" w:lineRule="exact"/>
        <w:ind w:firstLine="420"/>
        <w:jc w:val="left"/>
        <w:textAlignment w:val="auto"/>
        <w:rPr>
          <w:rFonts w:hint="eastAsia" w:asciiTheme="minorEastAsia" w:hAnsiTheme="minorEastAsia" w:eastAsiaTheme="minorEastAsia"/>
          <w:color w:val="000000" w:themeColor="text1"/>
          <w:kern w:val="0"/>
          <w:szCs w:val="21"/>
          <w:highlight w:val="none"/>
          <w14:textFill>
            <w14:solidFill>
              <w14:schemeClr w14:val="tx1"/>
            </w14:solidFill>
          </w14:textFill>
        </w:rPr>
      </w:pPr>
      <w:r>
        <w:rPr>
          <w:rFonts w:hint="eastAsia" w:asciiTheme="minorEastAsia" w:hAnsiTheme="minorEastAsia" w:eastAsiaTheme="minorEastAsia"/>
          <w:color w:val="000000" w:themeColor="text1"/>
          <w:kern w:val="0"/>
          <w:szCs w:val="21"/>
          <w:highlight w:val="none"/>
          <w14:textFill>
            <w14:solidFill>
              <w14:schemeClr w14:val="tx1"/>
            </w14:solidFill>
          </w14:textFill>
        </w:rPr>
        <w:t>本单位承诺与本单位所代表的制造商（如有）、相关权利人（如有）参照签订此类《知识产权不侵权承诺函》，并督促上述制造商、权利人履行相应责任。否则，本单位承担连带责任。</w:t>
      </w:r>
    </w:p>
    <w:p w14:paraId="6D0536CE">
      <w:pPr>
        <w:keepNext w:val="0"/>
        <w:keepLines w:val="0"/>
        <w:pageBreakBefore w:val="0"/>
        <w:widowControl/>
        <w:kinsoku/>
        <w:wordWrap/>
        <w:overflowPunct/>
        <w:topLinePunct w:val="0"/>
        <w:bidi w:val="0"/>
        <w:spacing w:line="440" w:lineRule="exact"/>
        <w:ind w:left="0" w:leftChars="0" w:firstLine="420" w:firstLineChars="200"/>
        <w:jc w:val="left"/>
        <w:textAlignment w:val="auto"/>
        <w:rPr>
          <w:rFonts w:hint="eastAsia" w:asciiTheme="minorEastAsia" w:hAnsiTheme="minorEastAsia" w:eastAsiaTheme="minorEastAsia"/>
          <w:color w:val="000000" w:themeColor="text1"/>
          <w:kern w:val="0"/>
          <w:szCs w:val="21"/>
          <w:highlight w:val="none"/>
          <w14:textFill>
            <w14:solidFill>
              <w14:schemeClr w14:val="tx1"/>
            </w14:solidFill>
          </w14:textFill>
        </w:rPr>
      </w:pPr>
    </w:p>
    <w:p w14:paraId="7D185F08">
      <w:pPr>
        <w:spacing w:line="440" w:lineRule="exact"/>
        <w:ind w:firstLine="424" w:firstLineChars="202"/>
        <w:rPr>
          <w:rFonts w:asciiTheme="minorEastAsia" w:hAnsiTheme="minorEastAsia" w:eastAsiaTheme="minorEastAsia"/>
          <w:szCs w:val="21"/>
          <w:highlight w:val="none"/>
          <w:u w:val="single"/>
        </w:rPr>
      </w:pPr>
      <w:r>
        <w:rPr>
          <w:rFonts w:hint="eastAsia" w:asciiTheme="minorEastAsia" w:hAnsiTheme="minorEastAsia" w:eastAsiaTheme="minorEastAsia"/>
          <w:szCs w:val="21"/>
          <w:highlight w:val="none"/>
        </w:rPr>
        <w:t>承诺单位：</w:t>
      </w:r>
      <w:r>
        <w:rPr>
          <w:rFonts w:hint="eastAsia" w:asciiTheme="minorEastAsia" w:hAnsiTheme="minorEastAsia" w:eastAsiaTheme="minorEastAsia"/>
          <w:szCs w:val="21"/>
          <w:highlight w:val="none"/>
          <w:u w:val="single"/>
        </w:rPr>
        <w:t xml:space="preserve">　　　　　　　　                  </w:t>
      </w:r>
    </w:p>
    <w:p w14:paraId="3548AD89">
      <w:pPr>
        <w:spacing w:line="440" w:lineRule="exact"/>
        <w:ind w:firstLine="424" w:firstLineChars="202"/>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法定代表人/负责人（签字或盖人名章）</w:t>
      </w:r>
      <w:r>
        <w:rPr>
          <w:rFonts w:asciiTheme="minorEastAsia" w:hAnsiTheme="minorEastAsia" w:eastAsiaTheme="minorEastAsia"/>
          <w:szCs w:val="21"/>
          <w:highlight w:val="none"/>
        </w:rPr>
        <w:t>或者其委托代理人</w:t>
      </w:r>
      <w:r>
        <w:rPr>
          <w:rFonts w:hint="eastAsia" w:asciiTheme="minorEastAsia" w:hAnsiTheme="minorEastAsia" w:eastAsiaTheme="minorEastAsia"/>
          <w:szCs w:val="21"/>
          <w:highlight w:val="none"/>
        </w:rPr>
        <w:t>（签字）</w:t>
      </w:r>
      <w:r>
        <w:rPr>
          <w:rFonts w:asciiTheme="minorEastAsia" w:hAnsiTheme="minorEastAsia" w:eastAsiaTheme="minorEastAsia"/>
          <w:szCs w:val="21"/>
          <w:highlight w:val="none"/>
        </w:rPr>
        <w:t>：</w:t>
      </w:r>
      <w:r>
        <w:rPr>
          <w:rFonts w:hint="eastAsia" w:asciiTheme="minorEastAsia" w:hAnsiTheme="minorEastAsia" w:eastAsiaTheme="minorEastAsia"/>
          <w:szCs w:val="21"/>
          <w:highlight w:val="none"/>
          <w:u w:val="single"/>
        </w:rPr>
        <w:t xml:space="preserve">               </w:t>
      </w:r>
    </w:p>
    <w:p w14:paraId="31788F3E">
      <w:pPr>
        <w:spacing w:line="440" w:lineRule="exact"/>
        <w:ind w:firstLine="424" w:firstLineChars="202"/>
        <w:jc w:val="left"/>
        <w:rPr>
          <w:rFonts w:hint="eastAsia" w:cs="宋体" w:asciiTheme="minorEastAsia" w:hAnsiTheme="minorEastAsia" w:eastAsiaTheme="minorEastAsia"/>
          <w:highlight w:val="none"/>
        </w:rPr>
      </w:pPr>
      <w:r>
        <w:rPr>
          <w:rFonts w:hint="eastAsia" w:cs="宋体" w:asciiTheme="minorEastAsia" w:hAnsiTheme="minorEastAsia" w:eastAsiaTheme="minorEastAsia"/>
          <w:highlight w:val="none"/>
        </w:rPr>
        <w:t>日期：</w:t>
      </w:r>
      <w:r>
        <w:rPr>
          <w:rFonts w:cs="宋体" w:asciiTheme="minorEastAsia" w:hAnsiTheme="minorEastAsia" w:eastAsiaTheme="minorEastAsia"/>
          <w:highlight w:val="none"/>
          <w:u w:val="single"/>
        </w:rPr>
        <w:t xml:space="preserve">_    </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__ </w:t>
      </w:r>
      <w:r>
        <w:rPr>
          <w:rFonts w:hint="eastAsia" w:cs="宋体" w:asciiTheme="minorEastAsia" w:hAnsiTheme="minorEastAsia" w:eastAsiaTheme="minorEastAsia"/>
          <w:highlight w:val="none"/>
        </w:rPr>
        <w:t>年</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 xml:space="preserve">    __</w:t>
      </w:r>
      <w:r>
        <w:rPr>
          <w:rFonts w:hint="eastAsia" w:cs="宋体" w:asciiTheme="minorEastAsia" w:hAnsiTheme="minorEastAsia" w:eastAsiaTheme="minorEastAsia"/>
          <w:highlight w:val="none"/>
        </w:rPr>
        <w:t>月</w:t>
      </w:r>
      <w:r>
        <w:rPr>
          <w:rFonts w:cs="宋体" w:asciiTheme="minorEastAsia" w:hAnsiTheme="minorEastAsia" w:eastAsiaTheme="minorEastAsia"/>
          <w:highlight w:val="none"/>
          <w:u w:val="single"/>
        </w:rPr>
        <w:t>_    _</w:t>
      </w:r>
      <w:r>
        <w:rPr>
          <w:rFonts w:hint="eastAsia" w:cs="宋体" w:asciiTheme="minorEastAsia" w:hAnsiTheme="minorEastAsia" w:eastAsiaTheme="minorEastAsia"/>
          <w:highlight w:val="none"/>
          <w:u w:val="single"/>
        </w:rPr>
        <w:t xml:space="preserve"> </w:t>
      </w:r>
      <w:r>
        <w:rPr>
          <w:rFonts w:cs="宋体" w:asciiTheme="minorEastAsia" w:hAnsiTheme="minorEastAsia" w:eastAsiaTheme="minorEastAsia"/>
          <w:highlight w:val="none"/>
          <w:u w:val="single"/>
        </w:rPr>
        <w:t>_</w:t>
      </w:r>
      <w:r>
        <w:rPr>
          <w:rFonts w:hint="eastAsia" w:cs="宋体" w:asciiTheme="minorEastAsia" w:hAnsiTheme="minorEastAsia" w:eastAsiaTheme="minorEastAsia"/>
          <w:highlight w:val="none"/>
        </w:rPr>
        <w:t>日</w:t>
      </w:r>
    </w:p>
    <w:p w14:paraId="455E4FC4">
      <w:pPr>
        <w:spacing w:line="440" w:lineRule="exact"/>
        <w:ind w:firstLine="424" w:firstLineChars="202"/>
        <w:jc w:val="left"/>
        <w:rPr>
          <w:rFonts w:hint="eastAsia" w:cs="宋体" w:asciiTheme="minorEastAsia" w:hAnsiTheme="minorEastAsia" w:eastAsiaTheme="minorEastAsia"/>
          <w:highlight w:val="none"/>
        </w:rPr>
      </w:pPr>
    </w:p>
    <w:p w14:paraId="0DA1B2F0">
      <w:pPr>
        <w:widowControl/>
        <w:snapToGrid w:val="0"/>
        <w:spacing w:line="440" w:lineRule="exact"/>
        <w:jc w:val="left"/>
        <w:rPr>
          <w:rFonts w:hint="eastAsia" w:asciiTheme="minorEastAsia" w:hAnsiTheme="minorEastAsia" w:eastAsiaTheme="minorEastAsia"/>
          <w:sz w:val="24"/>
          <w:highlight w:val="none"/>
        </w:rPr>
      </w:pPr>
      <w:r>
        <w:rPr>
          <w:rFonts w:hint="eastAsia"/>
          <w:highlight w:val="none"/>
        </w:rPr>
        <w:t xml:space="preserve">    </w:t>
      </w:r>
    </w:p>
    <w:p w14:paraId="4F78A239">
      <w:pPr>
        <w:widowControl/>
        <w:jc w:val="left"/>
        <w:rPr>
          <w:rFonts w:hint="eastAsia" w:asciiTheme="minorEastAsia" w:hAnsiTheme="minorEastAsia" w:eastAsiaTheme="minorEastAsia"/>
          <w:sz w:val="24"/>
          <w:highlight w:val="none"/>
        </w:rPr>
      </w:pPr>
    </w:p>
    <w:p w14:paraId="122FA527">
      <w:pPr>
        <w:widowControl/>
        <w:jc w:val="left"/>
        <w:rPr>
          <w:rFonts w:hint="eastAsia" w:asciiTheme="minorEastAsia" w:hAnsiTheme="minorEastAsia" w:eastAsiaTheme="minorEastAsia"/>
          <w:b/>
          <w:bCs/>
          <w:sz w:val="21"/>
          <w:szCs w:val="21"/>
          <w:highlight w:val="none"/>
        </w:rPr>
      </w:pPr>
      <w:r>
        <w:rPr>
          <w:rFonts w:hint="eastAsia" w:asciiTheme="minorEastAsia" w:hAnsiTheme="minorEastAsia" w:eastAsiaTheme="minorEastAsia"/>
          <w:b/>
          <w:bCs/>
          <w:sz w:val="21"/>
          <w:szCs w:val="21"/>
          <w:highlight w:val="none"/>
        </w:rPr>
        <w:t>编制要求：</w:t>
      </w:r>
    </w:p>
    <w:p w14:paraId="157BB022">
      <w:pPr>
        <w:widowControl/>
        <w:snapToGrid w:val="0"/>
        <w:spacing w:line="440" w:lineRule="exact"/>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1.代理商</w:t>
      </w:r>
      <w:r>
        <w:rPr>
          <w:rFonts w:hint="eastAsia" w:asciiTheme="minorEastAsia" w:hAnsiTheme="minorEastAsia" w:eastAsiaTheme="minorEastAsia"/>
          <w:sz w:val="21"/>
          <w:szCs w:val="21"/>
          <w:highlight w:val="none"/>
          <w:lang w:val="en-US" w:eastAsia="zh-CN"/>
        </w:rPr>
        <w:t>响应</w:t>
      </w:r>
      <w:r>
        <w:rPr>
          <w:rFonts w:hint="eastAsia" w:asciiTheme="minorEastAsia" w:hAnsiTheme="minorEastAsia" w:eastAsiaTheme="minorEastAsia"/>
          <w:sz w:val="21"/>
          <w:szCs w:val="21"/>
          <w:highlight w:val="none"/>
        </w:rPr>
        <w:t>的，制造商和代理商须各自提供一份本承诺函。</w:t>
      </w:r>
    </w:p>
    <w:p w14:paraId="1454E946">
      <w:pPr>
        <w:widowControl/>
        <w:snapToGrid w:val="0"/>
        <w:spacing w:line="440" w:lineRule="exact"/>
        <w:jc w:val="left"/>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r>
        <w:rPr>
          <w:rFonts w:hint="eastAsia" w:asciiTheme="minorEastAsia" w:hAnsiTheme="minorEastAsia" w:eastAsiaTheme="minorEastAsia"/>
          <w:sz w:val="21"/>
          <w:szCs w:val="21"/>
          <w:highlight w:val="none"/>
          <w:lang w:val="en-US" w:eastAsia="zh-CN"/>
        </w:rPr>
        <w:t>产品</w:t>
      </w:r>
      <w:r>
        <w:rPr>
          <w:rFonts w:hint="eastAsia" w:asciiTheme="minorEastAsia" w:hAnsiTheme="minorEastAsia" w:eastAsiaTheme="minorEastAsia"/>
          <w:sz w:val="21"/>
          <w:szCs w:val="21"/>
          <w:highlight w:val="none"/>
        </w:rPr>
        <w:t>制造商注册地在中华人民共和国境外（与中华人民共和国有正常贸易与往来的国家或地区）及香港、澳门、台湾地区使用代理商</w:t>
      </w:r>
      <w:r>
        <w:rPr>
          <w:rFonts w:hint="eastAsia" w:asciiTheme="minorEastAsia" w:hAnsiTheme="minorEastAsia" w:eastAsiaTheme="minorEastAsia"/>
          <w:sz w:val="21"/>
          <w:szCs w:val="21"/>
          <w:highlight w:val="none"/>
          <w:lang w:val="en-US" w:eastAsia="zh-CN"/>
        </w:rPr>
        <w:t>响应</w:t>
      </w:r>
      <w:r>
        <w:rPr>
          <w:rFonts w:hint="eastAsia" w:asciiTheme="minorEastAsia" w:hAnsiTheme="minorEastAsia" w:eastAsiaTheme="minorEastAsia"/>
          <w:sz w:val="21"/>
          <w:szCs w:val="21"/>
          <w:highlight w:val="none"/>
        </w:rPr>
        <w:t>和签订销售合同且制造商无法加盖单位公章的，本文件应由有签署权的代表签字确认，并提供委托签署权的相关证明材料。</w:t>
      </w:r>
    </w:p>
    <w:p w14:paraId="1EE5F38D">
      <w:pPr>
        <w:snapToGrid w:val="0"/>
        <w:spacing w:line="440" w:lineRule="exact"/>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r>
        <w:rPr>
          <w:rFonts w:hint="eastAsia"/>
          <w:highlight w:val="none"/>
        </w:rPr>
        <w:t>除本文件允许</w:t>
      </w:r>
      <w:r>
        <w:rPr>
          <w:rFonts w:hint="eastAsia" w:ascii="Times New Roman" w:eastAsia="宋体"/>
          <w:highlight w:val="none"/>
          <w:lang w:val="en-US" w:eastAsia="zh-CN"/>
        </w:rPr>
        <w:t>供应商</w:t>
      </w:r>
      <w:r>
        <w:rPr>
          <w:rFonts w:hint="eastAsia"/>
          <w:highlight w:val="none"/>
        </w:rPr>
        <w:t>进行填写的内容以外，</w:t>
      </w:r>
      <w:r>
        <w:rPr>
          <w:rFonts w:hint="eastAsia" w:ascii="Times New Roman" w:eastAsia="宋体"/>
          <w:highlight w:val="none"/>
          <w:lang w:val="en-US" w:eastAsia="zh-CN"/>
        </w:rPr>
        <w:t>供应商</w:t>
      </w:r>
      <w:r>
        <w:rPr>
          <w:rFonts w:hint="eastAsia"/>
          <w:highlight w:val="none"/>
        </w:rPr>
        <w:t>不得对本文件进行修改</w:t>
      </w:r>
      <w:r>
        <w:rPr>
          <w:rFonts w:hint="eastAsia" w:asciiTheme="minorEastAsia" w:hAnsiTheme="minorEastAsia" w:eastAsiaTheme="minorEastAsia"/>
          <w:highlight w:val="none"/>
        </w:rPr>
        <w:t>。</w:t>
      </w:r>
    </w:p>
    <w:p w14:paraId="2C3B096D">
      <w:pPr>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br w:type="page"/>
      </w:r>
    </w:p>
    <w:p w14:paraId="485ED02C">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086" w:name="_Toc16500"/>
      <w:bookmarkStart w:id="2087" w:name="_Toc15111"/>
      <w:bookmarkStart w:id="2088" w:name="_Toc8790"/>
      <w:bookmarkStart w:id="2089" w:name="_Toc29567"/>
      <w:r>
        <w:rPr>
          <w:rFonts w:hint="eastAsia" w:cs="Times New Roman" w:asciiTheme="minorEastAsia" w:hAnsiTheme="minorEastAsia" w:eastAsiaTheme="minorEastAsia"/>
          <w:b/>
          <w:bCs/>
          <w:kern w:val="2"/>
          <w:sz w:val="24"/>
          <w:szCs w:val="24"/>
          <w:lang w:val="en-US" w:eastAsia="zh-CN" w:bidi="ar-SA"/>
        </w:rPr>
        <w:t>22.销售/转许可同意函</w:t>
      </w:r>
      <w:bookmarkEnd w:id="2086"/>
      <w:bookmarkEnd w:id="2087"/>
      <w:bookmarkEnd w:id="2088"/>
      <w:bookmarkEnd w:id="2089"/>
    </w:p>
    <w:p w14:paraId="7864F4C8">
      <w:pPr>
        <w:widowControl w:val="0"/>
        <w:ind w:firstLine="0" w:firstLineChars="0"/>
        <w:jc w:val="center"/>
        <w:rPr>
          <w:rFonts w:cs="Times New Roman" w:asciiTheme="minorEastAsia" w:hAnsiTheme="minorEastAsia" w:eastAsiaTheme="minorEastAsia"/>
          <w:b/>
          <w:kern w:val="2"/>
          <w:sz w:val="24"/>
          <w:szCs w:val="24"/>
          <w:lang w:val="en-US" w:eastAsia="zh-CN" w:bidi="ar-SA"/>
        </w:rPr>
      </w:pPr>
      <w:r>
        <w:rPr>
          <w:rFonts w:hint="eastAsia" w:cs="Times New Roman" w:asciiTheme="minorEastAsia" w:hAnsiTheme="minorEastAsia" w:eastAsiaTheme="minorEastAsia"/>
          <w:b/>
          <w:kern w:val="2"/>
          <w:sz w:val="24"/>
          <w:szCs w:val="24"/>
          <w:lang w:val="en-US" w:eastAsia="zh-CN" w:bidi="ar-SA"/>
        </w:rPr>
        <w:t>销售/转许可同意函</w:t>
      </w:r>
    </w:p>
    <w:p w14:paraId="540FA3D3">
      <w:pPr>
        <w:widowControl w:val="0"/>
        <w:ind w:firstLine="0" w:firstLineChars="0"/>
        <w:jc w:val="center"/>
        <w:rPr>
          <w:rFonts w:cs="Times New Roman" w:asciiTheme="minorEastAsia" w:hAnsiTheme="minorEastAsia" w:eastAsiaTheme="minorEastAsia"/>
          <w:b/>
          <w:bCs/>
          <w:kern w:val="2"/>
          <w:sz w:val="24"/>
          <w:szCs w:val="24"/>
          <w:lang w:val="en-US" w:eastAsia="zh-CN" w:bidi="ar-SA"/>
        </w:rPr>
      </w:pPr>
    </w:p>
    <w:p w14:paraId="770CC990">
      <w:pPr>
        <w:widowControl w:val="0"/>
        <w:spacing w:line="360" w:lineRule="atLeast"/>
        <w:jc w:val="left"/>
        <w:rPr>
          <w:rFonts w:cs="Times New Roman" w:asciiTheme="minorEastAsia" w:hAnsiTheme="minorEastAsia" w:eastAsiaTheme="minorEastAsia"/>
          <w:b/>
          <w:bCs/>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[集中采购项目原则上应使用，其余项目根据项目情况使用；响应人应答“同意”时，应将本函作为采购合同的附件]</w:t>
      </w:r>
    </w:p>
    <w:p w14:paraId="409D9971">
      <w:pPr>
        <w:widowControl w:val="0"/>
        <w:spacing w:line="360" w:lineRule="atLeast"/>
        <w:jc w:val="center"/>
        <w:rPr>
          <w:rFonts w:cs="Times New Roman" w:asciiTheme="minorEastAsia" w:hAnsiTheme="minorEastAsia" w:eastAsiaTheme="minorEastAsia"/>
          <w:b/>
          <w:bCs/>
          <w:kern w:val="2"/>
          <w:sz w:val="24"/>
          <w:szCs w:val="24"/>
          <w:lang w:val="en-US" w:eastAsia="zh-CN" w:bidi="ar-SA"/>
        </w:rPr>
      </w:pPr>
    </w:p>
    <w:p w14:paraId="79144EE7">
      <w:pPr>
        <w:widowControl w:val="0"/>
        <w:snapToGrid w:val="0"/>
        <w:spacing w:line="440" w:lineRule="exact"/>
        <w:jc w:val="both"/>
        <w:rPr>
          <w:rFonts w:cs="Times New Roman" w:asciiTheme="minorEastAsia" w:hAnsiTheme="minorEastAsia" w:eastAsiaTheme="minorEastAsia"/>
          <w:kern w:val="2"/>
          <w:sz w:val="21"/>
          <w:szCs w:val="21"/>
          <w:lang w:val="en-US" w:eastAsia="zh-CN" w:bidi="ar-SA"/>
        </w:rPr>
      </w:pPr>
      <w:r>
        <w:rPr>
          <w:rFonts w:hint="eastAsia" w:cs="Times New Roman" w:asciiTheme="minorEastAsia" w:hAnsiTheme="minorEastAsia" w:eastAsiaTheme="minorEastAsia"/>
          <w:b/>
          <w:bCs/>
          <w:kern w:val="2"/>
          <w:sz w:val="21"/>
          <w:szCs w:val="21"/>
          <w:lang w:val="en-US" w:eastAsia="zh-CN" w:bidi="ar-SA"/>
        </w:rPr>
        <w:t>致：【XX公司[招标人名称]】：</w:t>
      </w:r>
    </w:p>
    <w:p w14:paraId="1B23DF5E">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1.</w:t>
      </w:r>
      <w:r>
        <w:rPr>
          <w:rFonts w:hint="eastAsia" w:cs="Times New Roman" w:asciiTheme="minorEastAsia" w:hAnsiTheme="minorEastAsia" w:eastAsiaTheme="minorEastAsia"/>
          <w:kern w:val="0"/>
          <w:sz w:val="21"/>
          <w:szCs w:val="21"/>
          <w:lang w:val="en-US" w:eastAsia="zh-CN" w:bidi="ar-SA"/>
        </w:rPr>
        <w:tab/>
      </w:r>
      <w:r>
        <w:rPr>
          <w:rFonts w:hint="eastAsia" w:cs="Times New Roman" w:asciiTheme="minorEastAsia" w:hAnsiTheme="minorEastAsia" w:eastAsiaTheme="minorEastAsia"/>
          <w:kern w:val="0"/>
          <w:sz w:val="21"/>
          <w:szCs w:val="21"/>
          <w:lang w:val="en-US" w:eastAsia="zh-CN" w:bidi="ar-SA"/>
        </w:rPr>
        <w:t>我方</w:t>
      </w:r>
      <w:r>
        <w:rPr>
          <w:rFonts w:hint="eastAsia" w:cs="Times New Roman" w:asciiTheme="minorEastAsia" w:hAnsiTheme="minorEastAsia" w:eastAsiaTheme="minorEastAsia"/>
          <w:kern w:val="0"/>
          <w:sz w:val="21"/>
          <w:szCs w:val="21"/>
          <w:u w:val="single"/>
          <w:lang w:val="en-US" w:eastAsia="zh-CN" w:bidi="ar-SA"/>
        </w:rPr>
        <w:t>【       （同意/不同意）】</w:t>
      </w:r>
      <w:r>
        <w:rPr>
          <w:rFonts w:hint="eastAsia" w:cs="Times New Roman" w:asciiTheme="minorEastAsia" w:hAnsiTheme="minorEastAsia" w:eastAsiaTheme="minorEastAsia"/>
          <w:kern w:val="0"/>
          <w:sz w:val="21"/>
          <w:szCs w:val="21"/>
          <w:lang w:val="en-US" w:eastAsia="zh-CN" w:bidi="ar-SA"/>
        </w:rPr>
        <w:t>买方/采购方将</w:t>
      </w:r>
      <w:r>
        <w:rPr>
          <w:rFonts w:hint="eastAsia" w:cs="Times New Roman" w:asciiTheme="minorEastAsia" w:hAnsiTheme="minorEastAsia" w:eastAsiaTheme="minorEastAsia"/>
          <w:kern w:val="0"/>
          <w:sz w:val="21"/>
          <w:szCs w:val="21"/>
          <w:u w:val="single"/>
          <w:lang w:val="en-US" w:eastAsia="zh-CN" w:bidi="ar-SA"/>
        </w:rPr>
        <w:t>【       （招标项目名称）】</w:t>
      </w:r>
      <w:r>
        <w:rPr>
          <w:rFonts w:hint="eastAsia" w:cs="Times New Roman" w:asciiTheme="minorEastAsia" w:hAnsiTheme="minorEastAsia" w:eastAsiaTheme="minorEastAsia"/>
          <w:kern w:val="0"/>
          <w:sz w:val="21"/>
          <w:szCs w:val="21"/>
          <w:lang w:val="en-US" w:eastAsia="zh-CN" w:bidi="ar-SA"/>
        </w:rPr>
        <w:t>采购的设备及相关服务、软件许可等直接或集成其他设备、服务销售/转许可给买方/采购方的客户，买方</w:t>
      </w:r>
      <w:r>
        <w:rPr>
          <w:rFonts w:cs="Times New Roman" w:asciiTheme="minorEastAsia" w:hAnsiTheme="minorEastAsia" w:eastAsiaTheme="minorEastAsia"/>
          <w:kern w:val="0"/>
          <w:sz w:val="21"/>
          <w:szCs w:val="21"/>
          <w:lang w:val="en-US" w:eastAsia="zh-CN" w:bidi="ar-SA"/>
        </w:rPr>
        <w:t>/采购方向其客户</w:t>
      </w:r>
      <w:r>
        <w:rPr>
          <w:rFonts w:hint="eastAsia" w:cs="Times New Roman" w:asciiTheme="minorEastAsia" w:hAnsiTheme="minorEastAsia" w:eastAsiaTheme="minorEastAsia"/>
          <w:kern w:val="0"/>
          <w:sz w:val="21"/>
          <w:szCs w:val="21"/>
          <w:lang w:val="en-US" w:eastAsia="zh-CN" w:bidi="ar-SA"/>
        </w:rPr>
        <w:t>销售/转许可的价格由买方/采购方自行确定，我方不再向买方/采购方及其客户收取费用。</w:t>
      </w:r>
    </w:p>
    <w:p w14:paraId="4A3CDEE8">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r>
        <w:rPr>
          <w:rFonts w:hint="eastAsia" w:cs="Times New Roman" w:asciiTheme="minorEastAsia" w:hAnsiTheme="minorEastAsia" w:eastAsiaTheme="minorEastAsia"/>
          <w:kern w:val="0"/>
          <w:sz w:val="21"/>
          <w:szCs w:val="21"/>
          <w:lang w:val="en-US" w:eastAsia="zh-CN" w:bidi="ar-SA"/>
        </w:rPr>
        <w:t>2.</w:t>
      </w:r>
      <w:r>
        <w:rPr>
          <w:rFonts w:hint="eastAsia" w:cs="Times New Roman" w:asciiTheme="minorEastAsia" w:hAnsiTheme="minorEastAsia" w:eastAsiaTheme="minorEastAsia"/>
          <w:kern w:val="0"/>
          <w:sz w:val="21"/>
          <w:szCs w:val="21"/>
          <w:lang w:val="en-US" w:eastAsia="zh-CN" w:bidi="ar-SA"/>
        </w:rPr>
        <w:tab/>
      </w:r>
      <w:r>
        <w:rPr>
          <w:rFonts w:hint="eastAsia" w:cs="Times New Roman" w:asciiTheme="minorEastAsia" w:hAnsiTheme="minorEastAsia" w:eastAsiaTheme="minorEastAsia"/>
          <w:kern w:val="0"/>
          <w:sz w:val="21"/>
          <w:szCs w:val="21"/>
          <w:lang w:val="en-US" w:eastAsia="zh-CN" w:bidi="ar-SA"/>
        </w:rPr>
        <w:t xml:space="preserve">如【我方/我方的代理商】在本项目中标，我方承诺将按照本项目签署的合同（协议）向买方/采购方及其客户提供无差别的服务并保证买方/采购方的客户享有协议下买方/采购方的所有权利。 </w:t>
      </w:r>
    </w:p>
    <w:p w14:paraId="1C40483E">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p>
    <w:p w14:paraId="692043D2">
      <w:pPr>
        <w:spacing w:line="440" w:lineRule="exact"/>
        <w:ind w:firstLine="424" w:firstLineChars="202"/>
        <w:rPr>
          <w:rFonts w:cs="Times New Roman" w:asciiTheme="minorEastAsia" w:hAnsiTheme="minorEastAsia" w:eastAsiaTheme="minorEastAsia"/>
          <w:szCs w:val="21"/>
          <w:u w:val="single"/>
        </w:rPr>
      </w:pPr>
      <w:r>
        <w:rPr>
          <w:rFonts w:hint="eastAsia" w:cs="Times New Roman" w:asciiTheme="minorEastAsia" w:hAnsiTheme="minorEastAsia" w:eastAsiaTheme="minorEastAsia"/>
          <w:szCs w:val="21"/>
        </w:rPr>
        <w:t>承诺单位：</w:t>
      </w:r>
      <w:r>
        <w:rPr>
          <w:rFonts w:hint="eastAsia" w:cs="Times New Roman" w:asciiTheme="minorEastAsia" w:hAnsiTheme="minorEastAsia" w:eastAsiaTheme="minorEastAsia"/>
          <w:szCs w:val="21"/>
          <w:u w:val="single"/>
        </w:rPr>
        <w:t xml:space="preserve">　　　　　　　　                      </w:t>
      </w:r>
    </w:p>
    <w:p w14:paraId="15D6AC34">
      <w:pPr>
        <w:spacing w:line="440" w:lineRule="exact"/>
        <w:ind w:firstLine="424" w:firstLineChars="202"/>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法定代表人/负责人（签字或盖人名章）</w:t>
      </w:r>
      <w:r>
        <w:rPr>
          <w:rFonts w:cs="Times New Roman" w:asciiTheme="minorEastAsia" w:hAnsiTheme="minorEastAsia" w:eastAsiaTheme="minorEastAsia"/>
          <w:szCs w:val="21"/>
        </w:rPr>
        <w:t>或者其委托代理人</w:t>
      </w:r>
      <w:r>
        <w:rPr>
          <w:rFonts w:hint="eastAsia" w:cs="Times New Roman" w:asciiTheme="minorEastAsia" w:hAnsiTheme="minorEastAsia" w:eastAsiaTheme="minorEastAsia"/>
          <w:szCs w:val="21"/>
        </w:rPr>
        <w:t>（签字）</w:t>
      </w:r>
      <w:r>
        <w:rPr>
          <w:rFonts w:cs="Times New Roman" w:asciiTheme="minorEastAsia" w:hAnsiTheme="minorEastAsia" w:eastAsiaTheme="minorEastAsia"/>
          <w:szCs w:val="21"/>
        </w:rPr>
        <w:t>：</w:t>
      </w:r>
      <w:r>
        <w:rPr>
          <w:rFonts w:hint="eastAsia" w:cs="Times New Roman" w:asciiTheme="minorEastAsia" w:hAnsiTheme="minorEastAsia" w:eastAsiaTheme="minorEastAsia"/>
          <w:szCs w:val="21"/>
          <w:u w:val="single"/>
        </w:rPr>
        <w:t xml:space="preserve">               </w:t>
      </w:r>
    </w:p>
    <w:p w14:paraId="6799035B">
      <w:pPr>
        <w:spacing w:line="440" w:lineRule="exact"/>
        <w:ind w:firstLine="424" w:firstLineChars="202"/>
        <w:jc w:val="left"/>
        <w:rPr>
          <w:rFonts w:cs="Times New Roman" w:asciiTheme="minorEastAsia" w:hAnsiTheme="minorEastAsia" w:eastAsiaTheme="minorEastAsia"/>
          <w:szCs w:val="21"/>
        </w:rPr>
      </w:pPr>
      <w:r>
        <w:rPr>
          <w:rFonts w:hint="eastAsia" w:cs="宋体" w:asciiTheme="minorEastAsia" w:hAnsiTheme="minorEastAsia" w:eastAsiaTheme="minorEastAsia"/>
        </w:rPr>
        <w:t>日期：</w:t>
      </w:r>
      <w:r>
        <w:rPr>
          <w:rFonts w:cs="宋体" w:asciiTheme="minorEastAsia" w:hAnsiTheme="minorEastAsia" w:eastAsiaTheme="minorEastAsia"/>
          <w:u w:val="single"/>
        </w:rPr>
        <w:t xml:space="preserve">_    </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__ </w:t>
      </w:r>
      <w:r>
        <w:rPr>
          <w:rFonts w:hint="eastAsia" w:cs="宋体" w:asciiTheme="minorEastAsia" w:hAnsiTheme="minorEastAsia" w:eastAsiaTheme="minorEastAsia"/>
        </w:rPr>
        <w:t>年</w:t>
      </w:r>
      <w:r>
        <w:rPr>
          <w:rFonts w:cs="宋体" w:asciiTheme="minorEastAsia" w:hAnsiTheme="minorEastAsia" w:eastAsiaTheme="minorEastAsia"/>
          <w:u w:val="single"/>
        </w:rPr>
        <w:t>_</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 xml:space="preserve">    __</w:t>
      </w:r>
      <w:r>
        <w:rPr>
          <w:rFonts w:hint="eastAsia" w:cs="宋体" w:asciiTheme="minorEastAsia" w:hAnsiTheme="minorEastAsia" w:eastAsiaTheme="minorEastAsia"/>
        </w:rPr>
        <w:t>月</w:t>
      </w:r>
      <w:r>
        <w:rPr>
          <w:rFonts w:cs="宋体" w:asciiTheme="minorEastAsia" w:hAnsiTheme="minorEastAsia" w:eastAsiaTheme="minorEastAsia"/>
          <w:u w:val="single"/>
        </w:rPr>
        <w:t>_    _</w:t>
      </w:r>
      <w:r>
        <w:rPr>
          <w:rFonts w:hint="eastAsia" w:cs="宋体" w:asciiTheme="minorEastAsia" w:hAnsiTheme="minorEastAsia" w:eastAsiaTheme="minorEastAsia"/>
          <w:u w:val="single"/>
        </w:rPr>
        <w:t xml:space="preserve"> </w:t>
      </w:r>
      <w:r>
        <w:rPr>
          <w:rFonts w:cs="宋体" w:asciiTheme="minorEastAsia" w:hAnsiTheme="minorEastAsia" w:eastAsiaTheme="minorEastAsia"/>
          <w:u w:val="single"/>
        </w:rPr>
        <w:t>_</w:t>
      </w:r>
      <w:r>
        <w:rPr>
          <w:rFonts w:hint="eastAsia" w:cs="宋体" w:asciiTheme="minorEastAsia" w:hAnsiTheme="minorEastAsia" w:eastAsiaTheme="minorEastAsia"/>
        </w:rPr>
        <w:t>日</w:t>
      </w:r>
    </w:p>
    <w:p w14:paraId="7422AA4C">
      <w:pPr>
        <w:widowControl w:val="0"/>
        <w:snapToGrid w:val="0"/>
        <w:spacing w:line="440" w:lineRule="exact"/>
        <w:ind w:firstLine="411" w:firstLineChars="196"/>
        <w:jc w:val="both"/>
        <w:rPr>
          <w:rFonts w:cs="Times New Roman" w:asciiTheme="minorEastAsia" w:hAnsiTheme="minorEastAsia" w:eastAsiaTheme="minorEastAsia"/>
          <w:kern w:val="0"/>
          <w:sz w:val="21"/>
          <w:szCs w:val="21"/>
          <w:lang w:val="en-US" w:eastAsia="zh-CN" w:bidi="ar-SA"/>
        </w:rPr>
      </w:pPr>
    </w:p>
    <w:p w14:paraId="70EC298E">
      <w:pPr>
        <w:snapToGrid w:val="0"/>
        <w:spacing w:line="440" w:lineRule="exact"/>
        <w:rPr>
          <w:rFonts w:cs="Times New Roman" w:asciiTheme="minorEastAsia" w:hAnsiTheme="minorEastAsia" w:eastAsiaTheme="minorEastAsia"/>
          <w:szCs w:val="21"/>
        </w:rPr>
      </w:pPr>
      <w:r>
        <w:rPr>
          <w:rFonts w:hint="eastAsia" w:ascii="Times New Roman" w:hAnsi="Times New Roman" w:eastAsia="宋体" w:cs="Times New Roman"/>
        </w:rPr>
        <w:t>[</w:t>
      </w:r>
      <w:r>
        <w:rPr>
          <w:rFonts w:hint="eastAsia" w:ascii="Times New Roman" w:hAnsi="Times New Roman" w:eastAsia="宋体" w:cs="Times New Roman"/>
          <w:lang w:val="en-US" w:eastAsia="zh-CN"/>
        </w:rPr>
        <w:t>采购</w:t>
      </w:r>
      <w:r>
        <w:rPr>
          <w:rFonts w:hint="eastAsia" w:cs="Times New Roman" w:asciiTheme="minorEastAsia" w:hAnsiTheme="minorEastAsia" w:eastAsiaTheme="minorEastAsia"/>
          <w:szCs w:val="21"/>
        </w:rPr>
        <w:t>人不得将本同意函作为资格条件或评分标准且不得强制要求</w:t>
      </w:r>
      <w:r>
        <w:rPr>
          <w:rFonts w:hint="eastAsia" w:cs="Times New Roman" w:asciiTheme="minorEastAsia" w:hAnsiTheme="minorEastAsia" w:eastAsiaTheme="minorEastAsia"/>
          <w:szCs w:val="21"/>
          <w:lang w:val="en-US" w:eastAsia="zh-CN"/>
        </w:rPr>
        <w:t>响应</w:t>
      </w:r>
      <w:r>
        <w:rPr>
          <w:rFonts w:hint="eastAsia" w:cs="Times New Roman" w:asciiTheme="minorEastAsia" w:hAnsiTheme="minorEastAsia" w:eastAsiaTheme="minorEastAsia"/>
          <w:szCs w:val="21"/>
        </w:rPr>
        <w:t>人出具本同意函；</w:t>
      </w:r>
      <w:r>
        <w:rPr>
          <w:rFonts w:hint="eastAsia" w:cs="Times New Roman" w:asciiTheme="minorEastAsia" w:hAnsiTheme="minorEastAsia" w:eastAsiaTheme="minorEastAsia"/>
          <w:szCs w:val="21"/>
          <w:lang w:val="en-US" w:eastAsia="zh-CN"/>
        </w:rPr>
        <w:t>采购</w:t>
      </w:r>
      <w:r>
        <w:rPr>
          <w:rFonts w:hint="eastAsia" w:ascii="Times New Roman" w:hAnsi="Times New Roman" w:eastAsia="宋体" w:cs="Times New Roman"/>
        </w:rPr>
        <w:t>人可根据项目实际情况修改本文件中的条款、增加新的条款</w:t>
      </w:r>
      <w:r>
        <w:rPr>
          <w:rFonts w:hint="eastAsia" w:cs="Times New Roman" w:asciiTheme="minorEastAsia" w:hAnsiTheme="minorEastAsia" w:eastAsiaTheme="minorEastAsia"/>
          <w:szCs w:val="21"/>
        </w:rPr>
        <w:t>。</w:t>
      </w:r>
      <w:r>
        <w:rPr>
          <w:rFonts w:hint="eastAsia" w:ascii="Times New Roman" w:hAnsi="Times New Roman" w:eastAsia="宋体" w:cs="Times New Roman"/>
        </w:rPr>
        <w:t>如不涉及需第三方提供本文件，可将落款中签字栏“</w:t>
      </w:r>
      <w:r>
        <w:rPr>
          <w:rFonts w:hint="eastAsia" w:ascii="宋体" w:hAnsi="宋体" w:eastAsia="宋体" w:cs="Times New Roman"/>
          <w:szCs w:val="21"/>
        </w:rPr>
        <w:t>法定代表人/负责人（签字或盖人名章）</w:t>
      </w:r>
      <w:r>
        <w:rPr>
          <w:rFonts w:ascii="宋体" w:hAnsi="宋体" w:eastAsia="宋体" w:cs="Times New Roman"/>
          <w:szCs w:val="21"/>
        </w:rPr>
        <w:t>或者其委托代理人</w:t>
      </w:r>
      <w:r>
        <w:rPr>
          <w:rFonts w:hint="eastAsia" w:ascii="宋体" w:hAnsi="宋体" w:eastAsia="宋体" w:cs="Times New Roman"/>
          <w:szCs w:val="21"/>
        </w:rPr>
        <w:t>（签字）</w:t>
      </w:r>
      <w:r>
        <w:rPr>
          <w:rFonts w:ascii="宋体" w:hAnsi="宋体" w:eastAsia="宋体" w:cs="Times New Roman"/>
          <w:szCs w:val="21"/>
        </w:rPr>
        <w:t>：</w:t>
      </w:r>
      <w:r>
        <w:rPr>
          <w:rFonts w:hint="eastAsia" w:ascii="Times New Roman" w:hAnsi="Times New Roman" w:eastAsia="宋体" w:cs="Times New Roman"/>
        </w:rPr>
        <w:t>”删除。</w:t>
      </w:r>
      <w:r>
        <w:rPr>
          <w:rFonts w:hint="eastAsia" w:cs="Times New Roman" w:asciiTheme="minorEastAsia" w:hAnsiTheme="minorEastAsia" w:eastAsiaTheme="minorEastAsia"/>
          <w:szCs w:val="21"/>
        </w:rPr>
        <w:t>]</w:t>
      </w:r>
    </w:p>
    <w:p w14:paraId="2F0327D8">
      <w:pPr>
        <w:snapToGrid w:val="0"/>
        <w:spacing w:line="440" w:lineRule="exact"/>
        <w:rPr>
          <w:rFonts w:cs="Times New Roman" w:asciiTheme="minorEastAsia" w:hAnsiTheme="minorEastAsia" w:eastAsiaTheme="minorEastAsia"/>
          <w:b/>
          <w:szCs w:val="21"/>
        </w:rPr>
      </w:pPr>
      <w:r>
        <w:rPr>
          <w:rFonts w:hint="eastAsia" w:cs="Times New Roman" w:asciiTheme="minorEastAsia" w:hAnsiTheme="minorEastAsia" w:eastAsiaTheme="minorEastAsia"/>
          <w:b/>
          <w:szCs w:val="21"/>
        </w:rPr>
        <w:t>编制要求：</w:t>
      </w:r>
    </w:p>
    <w:p w14:paraId="271C5BAB">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1. 代理商</w:t>
      </w:r>
      <w:r>
        <w:rPr>
          <w:rFonts w:hint="eastAsia" w:cs="Times New Roman" w:asciiTheme="minorEastAsia" w:hAnsiTheme="minorEastAsia" w:eastAsiaTheme="minorEastAsia"/>
          <w:szCs w:val="21"/>
          <w:lang w:val="en-US" w:eastAsia="zh-CN"/>
        </w:rPr>
        <w:t>响应</w:t>
      </w:r>
      <w:r>
        <w:rPr>
          <w:rFonts w:hint="eastAsia" w:cs="Times New Roman" w:asciiTheme="minorEastAsia" w:hAnsiTheme="minorEastAsia" w:eastAsiaTheme="minorEastAsia"/>
          <w:szCs w:val="21"/>
        </w:rPr>
        <w:t>的，制造商和代理商须各自提供一份本承诺函。</w:t>
      </w:r>
    </w:p>
    <w:p w14:paraId="05F56C91">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 xml:space="preserve">2. </w:t>
      </w:r>
      <w:r>
        <w:rPr>
          <w:rFonts w:hint="eastAsia" w:cs="Times New Roman" w:asciiTheme="minorEastAsia" w:hAnsiTheme="minorEastAsia" w:eastAsiaTheme="minorEastAsia"/>
          <w:szCs w:val="21"/>
          <w:lang w:val="en-US" w:eastAsia="zh-CN"/>
        </w:rPr>
        <w:t>响应</w:t>
      </w:r>
      <w:r>
        <w:rPr>
          <w:rFonts w:hint="eastAsia" w:cs="Times New Roman" w:asciiTheme="minorEastAsia" w:hAnsiTheme="minorEastAsia" w:eastAsiaTheme="minorEastAsia"/>
          <w:szCs w:val="21"/>
        </w:rPr>
        <w:t>产品制造商注册地在中华人民共和国境外（与中华人民共和国有正常贸易与往来的国家或地区）及香港、澳门、台湾地区使用代理商投标和签订销售合同且制造商无法加盖单位公章的，本文件应由有签署权的代表签字确认，并提供委托签署权的相关证明材料。</w:t>
      </w:r>
    </w:p>
    <w:p w14:paraId="3352A80E">
      <w:pPr>
        <w:snapToGrid w:val="0"/>
        <w:spacing w:line="440" w:lineRule="exact"/>
        <w:rPr>
          <w:rFonts w:cs="Times New Roman" w:asciiTheme="minorEastAsia" w:hAnsiTheme="minorEastAsia" w:eastAsiaTheme="minorEastAsia"/>
          <w:szCs w:val="21"/>
        </w:rPr>
      </w:pPr>
      <w:r>
        <w:rPr>
          <w:rFonts w:hint="eastAsia" w:cs="Times New Roman" w:asciiTheme="minorEastAsia" w:hAnsiTheme="minorEastAsia" w:eastAsiaTheme="minorEastAsia"/>
          <w:szCs w:val="21"/>
        </w:rPr>
        <w:t xml:space="preserve">3. </w:t>
      </w:r>
      <w:r>
        <w:rPr>
          <w:rFonts w:hint="eastAsia" w:cs="Times New Roman" w:asciiTheme="minorEastAsia" w:hAnsiTheme="minorEastAsia" w:eastAsiaTheme="minorEastAsia"/>
          <w:szCs w:val="21"/>
          <w:lang w:val="en-US" w:eastAsia="zh-CN"/>
        </w:rPr>
        <w:t>响应</w:t>
      </w:r>
      <w:r>
        <w:rPr>
          <w:rFonts w:hint="eastAsia" w:cs="Times New Roman" w:asciiTheme="minorEastAsia" w:hAnsiTheme="minorEastAsia" w:eastAsiaTheme="minorEastAsia"/>
          <w:szCs w:val="21"/>
        </w:rPr>
        <w:t>人可根据自身实际情况以自愿原则出具本承诺函。</w:t>
      </w:r>
    </w:p>
    <w:p w14:paraId="13BD892E">
      <w:pPr>
        <w:snapToGrid w:val="0"/>
        <w:spacing w:line="440" w:lineRule="exact"/>
        <w:rPr>
          <w:rFonts w:hint="eastAsia" w:ascii="Times New Roman" w:hAnsi="Times New Roman" w:eastAsia="宋体" w:cs="Times New Roman"/>
        </w:rPr>
      </w:pPr>
      <w:r>
        <w:rPr>
          <w:rFonts w:hint="eastAsia" w:cs="Times New Roman" w:asciiTheme="minorEastAsia" w:hAnsiTheme="minorEastAsia" w:eastAsiaTheme="minorEastAsia"/>
          <w:szCs w:val="21"/>
        </w:rPr>
        <w:t xml:space="preserve">4. </w:t>
      </w:r>
      <w:r>
        <w:rPr>
          <w:rFonts w:hint="eastAsia" w:ascii="Times New Roman" w:hAnsi="Times New Roman" w:eastAsia="宋体" w:cs="Times New Roman"/>
          <w:lang w:val="en-US" w:eastAsia="zh-CN"/>
        </w:rPr>
        <w:t>响应</w:t>
      </w:r>
      <w:r>
        <w:rPr>
          <w:rFonts w:hint="eastAsia" w:ascii="Times New Roman" w:hAnsi="Times New Roman" w:eastAsia="宋体" w:cs="Times New Roman"/>
        </w:rPr>
        <w:t>人可以根据实际情况对本文件进行调整和修改，但应满足</w:t>
      </w:r>
      <w:r>
        <w:rPr>
          <w:rFonts w:hint="eastAsia" w:ascii="Times New Roman" w:hAnsi="Times New Roman" w:eastAsia="宋体" w:cs="Times New Roman"/>
          <w:lang w:val="en-US" w:eastAsia="zh-CN"/>
        </w:rPr>
        <w:t>响应</w:t>
      </w:r>
      <w:r>
        <w:rPr>
          <w:rFonts w:hint="eastAsia" w:ascii="Times New Roman" w:hAnsi="Times New Roman" w:eastAsia="宋体" w:cs="Times New Roman"/>
        </w:rPr>
        <w:t>文件对本文件的要求。</w:t>
      </w:r>
    </w:p>
    <w:p w14:paraId="0505EF77">
      <w:pPr>
        <w:rPr>
          <w:rFonts w:hint="eastAsia" w:ascii="Times New Roman" w:hAnsi="Times New Roman" w:eastAsia="宋体" w:cs="Times New Roman"/>
        </w:rPr>
      </w:pPr>
      <w:r>
        <w:rPr>
          <w:rFonts w:hint="eastAsia" w:ascii="Times New Roman" w:hAnsi="Times New Roman" w:eastAsia="宋体" w:cs="Times New Roman"/>
        </w:rPr>
        <w:br w:type="page"/>
      </w:r>
    </w:p>
    <w:p w14:paraId="45361C8B">
      <w:pPr>
        <w:snapToGrid w:val="0"/>
        <w:spacing w:line="440" w:lineRule="exact"/>
        <w:rPr>
          <w:rFonts w:hint="eastAsia" w:ascii="Times New Roman" w:hAnsi="Times New Roman" w:eastAsia="宋体" w:cs="Times New Roman"/>
        </w:rPr>
      </w:pPr>
    </w:p>
    <w:p w14:paraId="6B2BDA8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090" w:name="_Toc32037"/>
      <w:r>
        <w:rPr>
          <w:rFonts w:hint="eastAsia" w:cs="Times New Roman" w:asciiTheme="minorEastAsia" w:hAnsiTheme="minorEastAsia" w:eastAsiaTheme="minorEastAsia"/>
          <w:b/>
          <w:bCs/>
          <w:kern w:val="2"/>
          <w:sz w:val="24"/>
          <w:szCs w:val="24"/>
          <w:lang w:val="en-US" w:eastAsia="zh-CN" w:bidi="ar-SA"/>
        </w:rPr>
        <w:t>23.不得存在情形承诺</w:t>
      </w:r>
      <w:bookmarkEnd w:id="2090"/>
    </w:p>
    <w:p w14:paraId="5A9CC16D">
      <w:pPr>
        <w:widowControl w:val="0"/>
        <w:numPr>
          <w:ilvl w:val="0"/>
          <w:numId w:val="0"/>
        </w:numPr>
        <w:tabs>
          <w:tab w:val="left" w:pos="588"/>
        </w:tabs>
        <w:snapToGrid w:val="0"/>
        <w:spacing w:before="120" w:after="120" w:line="440" w:lineRule="exact"/>
        <w:ind w:left="210" w:leftChars="0"/>
        <w:jc w:val="center"/>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不得存在情形承诺</w:t>
      </w:r>
    </w:p>
    <w:p w14:paraId="6D71C9D1">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致： 中国电信股份有限公司遵义分公司</w:t>
      </w:r>
    </w:p>
    <w:p w14:paraId="629373A6">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我公司承诺，不存在下列情形之一：</w:t>
      </w:r>
    </w:p>
    <w:p w14:paraId="008D0D64">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（1）为采购人不具有独立法人资格的附属机构（单位）；</w:t>
      </w:r>
    </w:p>
    <w:p w14:paraId="64D0788B">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（2）被依法暂停或取消投标/响应资格的；</w:t>
      </w:r>
    </w:p>
    <w:p w14:paraId="74D90A7D">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 xml:space="preserve">（3）被责令停产停业、暂扣或者吊销许可证、暂扣或者吊销执照； </w:t>
      </w:r>
    </w:p>
    <w:p w14:paraId="30E9FFCA">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 xml:space="preserve">（4）进入清算程序，或被宣告破产，或其他丧失履约能力的情形； </w:t>
      </w:r>
    </w:p>
    <w:p w14:paraId="56D98A44">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（5）在最近三年内[响应截止时间前36个月]被相关行业主管部门或司法机关认定骗取中标/成交、严重违约、重大工程质量或者安全问题的；</w:t>
      </w:r>
    </w:p>
    <w:p w14:paraId="44228E2E">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（6）在最近五年内[响应截止时间前60个月]被判处单位行贿罪，且行贿行为与采购活动相关的（以“中国裁判文书网”的生效判决为准）；</w:t>
      </w:r>
    </w:p>
    <w:p w14:paraId="35C92991">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（7）在最近五年内[响应截止时间前60个月]被判处合同诈骗罪的（以“中国裁判文书网”的生效判决为准）；</w:t>
      </w:r>
    </w:p>
    <w:p w14:paraId="6B6B0BCC">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（8）被最高人民法院在“信用中国”网站（www.creditchina.gov.cn）或各级信用信息共享平台中列入失信被执行人名单，已执行完毕或不再执行的除外；</w:t>
      </w:r>
    </w:p>
    <w:p w14:paraId="6C41DE5B">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（9）为本询比项目提供过设计、编制技术规范和其他文件的咨询服务；</w:t>
      </w:r>
    </w:p>
    <w:p w14:paraId="0F972506">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（10）为本工程项目的相关监理人，或者与本工程项目的相关监理人存在隶属关系或者其他利害关系；</w:t>
      </w:r>
    </w:p>
    <w:p w14:paraId="42C0C1E0">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（11）为本询比项目的代建人；</w:t>
      </w:r>
    </w:p>
    <w:p w14:paraId="6CB6F202">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（12）为本询比项目的采购代理机构；</w:t>
      </w:r>
    </w:p>
    <w:p w14:paraId="55B9A07D">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（13）与本询比项目的监理人或代建人或采购代理机构同为一个法定代表人；</w:t>
      </w:r>
    </w:p>
    <w:p w14:paraId="10E168CB">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（14）与本询比项目的监理人或代建人或采购代理机构存在控股或参股关系；</w:t>
      </w:r>
    </w:p>
    <w:p w14:paraId="1CC044F7">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（15）被工商行政管理机关在国家企业信用信息公示系统中列入严重违法失信企业名单的；</w:t>
      </w:r>
    </w:p>
    <w:p w14:paraId="641601E8">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（16）中国电信在职员工违规担任供应商法定代表人并参与采购活动的；</w:t>
      </w:r>
    </w:p>
    <w:p w14:paraId="5A0686CC">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（17）中国电信集团有限公司/中国电信股份有限公司中层及以上管理人员违反有关领导人员配偶、子女及其配偶经商办企业行为管理规定，其配偶、子女及其配偶经商办企业参与采购活动的；</w:t>
      </w:r>
    </w:p>
    <w:p w14:paraId="5C6A6E5F">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（18）中国电信领导人员离职或退休后三年内违反《国有企业领导人员廉洁从业若干规定》等相关规定任职、投资入股的私营企业、外资企业和中介机构，参与其原任职单位采购活动的；</w:t>
      </w:r>
    </w:p>
    <w:p w14:paraId="297F9898">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19）【其他按照中国电信供应商不良行为处理结果及《中国电信供应商不良行为管理规则》的结果执行规则，应对供应商及其响应产品在本项目中执行禁止采购处理措施的；[如涉及联合采购，请同时明确其他联合采购方的不良行为处理结果及相关规则]】</w:t>
      </w:r>
    </w:p>
    <w:p w14:paraId="0A95B872">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（20）法律法规、询比文件限定的其他情形。</w:t>
      </w:r>
    </w:p>
    <w:p w14:paraId="0D706429">
      <w:pPr>
        <w:widowControl w:val="0"/>
        <w:numPr>
          <w:ilvl w:val="0"/>
          <w:numId w:val="0"/>
        </w:numPr>
        <w:tabs>
          <w:tab w:val="left" w:pos="588"/>
        </w:tabs>
        <w:snapToGrid w:val="0"/>
        <w:spacing w:before="120" w:after="120" w:line="440" w:lineRule="exact"/>
        <w:ind w:left="210" w:leftChars="0"/>
        <w:jc w:val="left"/>
        <w:outlineLvl w:val="9"/>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Times New Roman"/>
          <w:b w:val="0"/>
          <w:bCs w:val="0"/>
          <w:color w:val="000000" w:themeColor="text1"/>
          <w:kern w:val="2"/>
          <w:sz w:val="24"/>
          <w:szCs w:val="24"/>
          <w:lang w:val="en-US" w:eastAsia="zh-CN" w:bidi="ar-SA"/>
          <w14:textFill>
            <w14:solidFill>
              <w14:schemeClr w14:val="tx1"/>
            </w14:solidFill>
          </w14:textFill>
        </w:rPr>
        <w:t>供应商是代理商的，本条所指的供应商也包括其所代理的制造商；联合体响应的，联合体成员均不得存在上述任一情形。</w:t>
      </w:r>
    </w:p>
    <w:p w14:paraId="17926D10">
      <w:pPr>
        <w:jc w:val="center"/>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 xml:space="preserve">                              </w:t>
      </w:r>
    </w:p>
    <w:p w14:paraId="2534CE68">
      <w:pPr>
        <w:jc w:val="cente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 xml:space="preserve">                           响应</w:t>
      </w:r>
      <w:r>
        <w:rPr>
          <w:rFonts w:hint="eastAsia" w:asciiTheme="minorEastAsia" w:hAnsiTheme="minorEastAsia" w:eastAsiaTheme="minorEastAsia"/>
          <w:sz w:val="24"/>
          <w:highlight w:val="none"/>
        </w:rPr>
        <w:t xml:space="preserve">人：                       </w:t>
      </w:r>
    </w:p>
    <w:p w14:paraId="15BD7AB9">
      <w:pPr>
        <w:jc w:val="righ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p>
    <w:p w14:paraId="298A617E">
      <w:pPr>
        <w:jc w:val="right"/>
        <w:rPr>
          <w:rFonts w:hint="eastAsia" w:cs="Times New Roman" w:asciiTheme="minorEastAsia" w:hAnsiTheme="minorEastAsia" w:eastAsiaTheme="minorEastAsia"/>
          <w:szCs w:val="21"/>
        </w:rPr>
      </w:pPr>
      <w:r>
        <w:rPr>
          <w:rFonts w:hint="eastAsia" w:asciiTheme="minorEastAsia" w:hAnsiTheme="minorEastAsia" w:eastAsiaTheme="minorEastAsia"/>
          <w:sz w:val="24"/>
          <w:highlight w:val="none"/>
        </w:rPr>
        <w:t>日期：      年   月   日</w:t>
      </w:r>
    </w:p>
    <w:p w14:paraId="1B3CE814">
      <w:pPr>
        <w:widowControl/>
        <w:jc w:val="left"/>
        <w:rPr>
          <w:rFonts w:hint="eastAsia" w:cs="Times New Roman" w:asciiTheme="minorEastAsia" w:hAnsiTheme="minorEastAsia" w:eastAsiaTheme="minorEastAsia"/>
          <w:szCs w:val="21"/>
        </w:rPr>
      </w:pPr>
    </w:p>
    <w:p w14:paraId="2FD8CA9D">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091" w:name="_Toc38008097"/>
      <w:bookmarkStart w:id="2092" w:name="_Toc31912"/>
      <w:bookmarkStart w:id="2093" w:name="_Toc14288"/>
      <w:bookmarkStart w:id="2094" w:name="_Toc32647"/>
      <w:bookmarkStart w:id="2095" w:name="_Toc26398"/>
      <w:bookmarkStart w:id="2096" w:name="_Toc23246"/>
      <w:bookmarkStart w:id="2097" w:name="_Toc26307"/>
      <w:bookmarkStart w:id="2098" w:name="_Toc11303"/>
      <w:bookmarkStart w:id="2099" w:name="_Toc3873"/>
      <w:bookmarkStart w:id="2100" w:name="_Toc139026986"/>
      <w:bookmarkStart w:id="2101" w:name="_Toc23"/>
      <w:bookmarkStart w:id="2102" w:name="_Toc9210"/>
      <w:bookmarkStart w:id="2103" w:name="_Toc569"/>
      <w:bookmarkStart w:id="2104" w:name="_Toc12197"/>
      <w:bookmarkStart w:id="2105" w:name="_Toc20386"/>
      <w:bookmarkStart w:id="2106" w:name="_Toc5673"/>
      <w:r>
        <w:rPr>
          <w:rFonts w:hint="eastAsia" w:asciiTheme="minorEastAsia" w:hAnsiTheme="minorEastAsia" w:eastAsiaTheme="minorEastAsia"/>
          <w:sz w:val="24"/>
          <w:szCs w:val="24"/>
          <w:highlight w:val="none"/>
        </w:rPr>
        <w:br w:type="page"/>
      </w:r>
      <w:bookmarkStart w:id="2107" w:name="_Toc6135"/>
      <w:r>
        <w:rPr>
          <w:rFonts w:hint="eastAsia" w:cs="Times New Roman" w:asciiTheme="minorEastAsia" w:hAnsiTheme="minorEastAsia" w:eastAsiaTheme="minorEastAsia"/>
          <w:b/>
          <w:bCs/>
          <w:kern w:val="2"/>
          <w:sz w:val="24"/>
          <w:szCs w:val="24"/>
          <w:lang w:val="en-US" w:eastAsia="zh-CN" w:bidi="ar-SA"/>
        </w:rPr>
        <w:t>24.开具增值税专用发票承诺</w:t>
      </w:r>
      <w:bookmarkEnd w:id="2107"/>
    </w:p>
    <w:p w14:paraId="5522E5FC">
      <w:pPr>
        <w:rPr>
          <w:rFonts w:hint="eastAsia" w:asciiTheme="minorEastAsia" w:hAnsiTheme="minorEastAsia" w:eastAsiaTheme="minorEastAsia"/>
          <w:sz w:val="24"/>
          <w:szCs w:val="24"/>
          <w:highlight w:val="none"/>
        </w:rPr>
      </w:pPr>
    </w:p>
    <w:p w14:paraId="178824C8">
      <w:pPr>
        <w:jc w:val="cente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开具增值税专用发票承诺</w:t>
      </w:r>
    </w:p>
    <w:p w14:paraId="24958205">
      <w:pPr>
        <w:rPr>
          <w:rFonts w:hint="eastAsia" w:asciiTheme="minorEastAsia" w:hAnsiTheme="minorEastAsia" w:eastAsiaTheme="minorEastAsia"/>
          <w:sz w:val="24"/>
          <w:szCs w:val="24"/>
          <w:highlight w:val="none"/>
        </w:rPr>
      </w:pPr>
    </w:p>
    <w:p w14:paraId="4DD082C9">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致中国电信股份有限公司遵义分公司：</w:t>
      </w:r>
    </w:p>
    <w:p w14:paraId="2D82550E">
      <w:pPr>
        <w:rPr>
          <w:rFonts w:hint="eastAsia" w:asciiTheme="minorEastAsia" w:hAnsiTheme="minorEastAsia" w:eastAsiaTheme="minorEastAsia"/>
          <w:sz w:val="24"/>
          <w:szCs w:val="24"/>
          <w:highlight w:val="none"/>
        </w:rPr>
      </w:pPr>
    </w:p>
    <w:p w14:paraId="5E31805F">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我公司若</w:t>
      </w:r>
      <w:r>
        <w:rPr>
          <w:rFonts w:hint="eastAsia" w:asciiTheme="minorEastAsia" w:hAnsiTheme="minorEastAsia" w:eastAsiaTheme="minorEastAsia"/>
          <w:sz w:val="24"/>
          <w:szCs w:val="24"/>
          <w:highlight w:val="none"/>
          <w:lang w:val="en-US" w:eastAsia="zh-CN"/>
        </w:rPr>
        <w:t>成</w:t>
      </w:r>
      <w:r>
        <w:rPr>
          <w:rFonts w:hint="eastAsia" w:asciiTheme="minorEastAsia" w:hAnsiTheme="minorEastAsia" w:eastAsiaTheme="minorEastAsia"/>
          <w:sz w:val="24"/>
          <w:szCs w:val="24"/>
          <w:highlight w:val="none"/>
        </w:rPr>
        <w:t>交贵公司的项目，将按照贵公司要求向贵公司提供符合国家相关税务法规要求的增值税专用发票，如承诺不实，我公司承担由此产生的全部责任。</w:t>
      </w:r>
    </w:p>
    <w:p w14:paraId="55AAA399">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特此承诺！</w:t>
      </w:r>
    </w:p>
    <w:p w14:paraId="7EEE19CD">
      <w:pPr>
        <w:jc w:val="right"/>
        <w:rPr>
          <w:rFonts w:hint="eastAsia" w:asciiTheme="minorEastAsia" w:hAnsiTheme="minorEastAsia" w:eastAsiaTheme="minorEastAsia"/>
          <w:sz w:val="24"/>
          <w:szCs w:val="24"/>
          <w:highlight w:val="none"/>
        </w:rPr>
      </w:pPr>
    </w:p>
    <w:p w14:paraId="0E1B22F5">
      <w:pPr>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 xml:space="preserve">          </w:t>
      </w:r>
    </w:p>
    <w:p w14:paraId="7C68FBB7">
      <w:pPr>
        <w:ind w:firstLine="3360" w:firstLineChars="1400"/>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人名称：XXXX公司（盖单位章）</w:t>
      </w:r>
    </w:p>
    <w:p w14:paraId="62D22ADA">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46DB53B3">
      <w:pPr>
        <w:jc w:val="righ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法定代表人或授权代表（签字）：</w:t>
      </w:r>
    </w:p>
    <w:p w14:paraId="0E79DF52">
      <w:pPr>
        <w:jc w:val="righ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w:t>
      </w:r>
    </w:p>
    <w:p w14:paraId="31C09B09">
      <w:pPr>
        <w:jc w:val="right"/>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 xml:space="preserve"> 日期：XX年 XX月XX日</w:t>
      </w:r>
    </w:p>
    <w:p w14:paraId="52039B67">
      <w:pPr>
        <w:rPr>
          <w:rFonts w:hint="eastAsia" w:asciiTheme="minorEastAsia" w:hAnsiTheme="minorEastAsia" w:eastAsiaTheme="minorEastAsia"/>
          <w:sz w:val="24"/>
          <w:szCs w:val="24"/>
          <w:highlight w:val="none"/>
        </w:rPr>
      </w:pPr>
    </w:p>
    <w:p w14:paraId="5F943613">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br w:type="page"/>
      </w:r>
    </w:p>
    <w:p w14:paraId="7BE55C11">
      <w:pPr>
        <w:rPr>
          <w:rFonts w:hint="eastAsia" w:asciiTheme="minorEastAsia" w:hAnsiTheme="minorEastAsia" w:eastAsiaTheme="minorEastAsia"/>
          <w:sz w:val="24"/>
          <w:szCs w:val="24"/>
          <w:highlight w:val="none"/>
        </w:rPr>
      </w:pPr>
    </w:p>
    <w:p w14:paraId="10D48324">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1"/>
        <w:rPr>
          <w:rFonts w:hint="eastAsia" w:asciiTheme="minorEastAsia" w:hAnsiTheme="minorEastAsia" w:eastAsiaTheme="minorEastAsia"/>
          <w:sz w:val="24"/>
          <w:szCs w:val="24"/>
          <w:highlight w:val="none"/>
        </w:rPr>
      </w:pPr>
      <w:bookmarkStart w:id="2108" w:name="_Toc31917"/>
      <w:r>
        <w:rPr>
          <w:rFonts w:hint="eastAsia" w:asciiTheme="minorEastAsia" w:hAnsiTheme="minorEastAsia" w:eastAsiaTheme="minorEastAsia"/>
          <w:sz w:val="24"/>
          <w:szCs w:val="24"/>
          <w:highlight w:val="none"/>
        </w:rPr>
        <w:t>第二分册 技术</w:t>
      </w:r>
      <w:r>
        <w:rPr>
          <w:rFonts w:hint="eastAsia" w:asciiTheme="minorEastAsia" w:hAnsiTheme="minorEastAsia" w:eastAsiaTheme="minorEastAsia"/>
          <w:sz w:val="24"/>
          <w:szCs w:val="24"/>
          <w:highlight w:val="none"/>
          <w:lang w:val="en-US" w:eastAsia="zh-CN"/>
        </w:rPr>
        <w:t>响应</w:t>
      </w:r>
      <w:r>
        <w:rPr>
          <w:rFonts w:hint="eastAsia" w:asciiTheme="minorEastAsia" w:hAnsiTheme="minorEastAsia" w:eastAsiaTheme="minorEastAsia"/>
          <w:sz w:val="24"/>
          <w:szCs w:val="24"/>
          <w:highlight w:val="none"/>
        </w:rPr>
        <w:t>文件</w:t>
      </w:r>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8"/>
    </w:p>
    <w:p w14:paraId="6DD198A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109" w:name="_Toc18997"/>
      <w:bookmarkStart w:id="2110" w:name="_Toc19526"/>
      <w:bookmarkStart w:id="2111" w:name="_Toc15150"/>
      <w:bookmarkStart w:id="2112" w:name="_Toc13134"/>
      <w:bookmarkStart w:id="2113" w:name="_Toc17485"/>
      <w:bookmarkStart w:id="2114" w:name="_Toc8571"/>
      <w:bookmarkStart w:id="2115" w:name="_Toc18458"/>
      <w:bookmarkStart w:id="2116" w:name="_Toc23118"/>
      <w:bookmarkStart w:id="2117" w:name="_Toc19250"/>
      <w:bookmarkStart w:id="2118" w:name="_Toc11535"/>
      <w:bookmarkStart w:id="2119" w:name="_Toc1466"/>
      <w:bookmarkStart w:id="2120" w:name="_Toc12298"/>
      <w:r>
        <w:rPr>
          <w:rFonts w:hint="eastAsia" w:cs="Times New Roman" w:asciiTheme="minorEastAsia" w:hAnsiTheme="minorEastAsia" w:eastAsiaTheme="minorEastAsia"/>
          <w:b/>
          <w:bCs/>
          <w:kern w:val="2"/>
          <w:sz w:val="24"/>
          <w:szCs w:val="24"/>
          <w:lang w:val="en-US" w:eastAsia="zh-CN" w:bidi="ar-SA"/>
        </w:rPr>
        <w:t>25.</w:t>
      </w:r>
      <w:r>
        <w:rPr>
          <w:rFonts w:hint="eastAsia" w:asciiTheme="minorEastAsia" w:hAnsiTheme="minorEastAsia" w:eastAsiaTheme="minorEastAsia"/>
          <w:sz w:val="24"/>
          <w:szCs w:val="24"/>
          <w:highlight w:val="none"/>
        </w:rPr>
        <w:t>技术</w:t>
      </w:r>
      <w:r>
        <w:rPr>
          <w:rFonts w:hint="eastAsia" w:asciiTheme="minorEastAsia" w:hAnsiTheme="minorEastAsia" w:eastAsiaTheme="minorEastAsia"/>
          <w:sz w:val="24"/>
          <w:szCs w:val="24"/>
          <w:highlight w:val="none"/>
          <w:lang w:eastAsia="zh-CN"/>
        </w:rPr>
        <w:t>响应文件</w:t>
      </w:r>
      <w:r>
        <w:rPr>
          <w:rFonts w:hint="eastAsia" w:asciiTheme="minorEastAsia" w:hAnsiTheme="minorEastAsia" w:eastAsiaTheme="minorEastAsia"/>
          <w:sz w:val="24"/>
          <w:szCs w:val="24"/>
          <w:highlight w:val="none"/>
        </w:rPr>
        <w:t>封面</w:t>
      </w:r>
      <w:bookmarkEnd w:id="2024"/>
      <w:bookmarkEnd w:id="2106"/>
      <w:bookmarkEnd w:id="2109"/>
      <w:bookmarkEnd w:id="2110"/>
      <w:bookmarkEnd w:id="2111"/>
      <w:bookmarkEnd w:id="2112"/>
      <w:bookmarkEnd w:id="2113"/>
      <w:bookmarkEnd w:id="2114"/>
      <w:bookmarkEnd w:id="2115"/>
      <w:bookmarkEnd w:id="2116"/>
      <w:bookmarkEnd w:id="2117"/>
      <w:bookmarkEnd w:id="2118"/>
      <w:bookmarkEnd w:id="2119"/>
      <w:bookmarkEnd w:id="2120"/>
    </w:p>
    <w:p w14:paraId="6D23461B">
      <w:pPr>
        <w:spacing w:after="120" w:line="360" w:lineRule="atLeast"/>
        <w:jc w:val="center"/>
        <w:rPr>
          <w:rFonts w:cs="宋体" w:asciiTheme="minorEastAsia" w:hAnsiTheme="minorEastAsia" w:eastAsiaTheme="minorEastAsia"/>
          <w:sz w:val="32"/>
          <w:szCs w:val="32"/>
          <w:highlight w:val="none"/>
          <w:u w:val="single"/>
        </w:rPr>
      </w:pPr>
    </w:p>
    <w:p w14:paraId="2506962E">
      <w:pPr>
        <w:spacing w:after="120" w:line="360" w:lineRule="atLeast"/>
        <w:jc w:val="center"/>
        <w:rPr>
          <w:rFonts w:cs="宋体" w:asciiTheme="minorEastAsia" w:hAnsiTheme="minorEastAsia" w:eastAsiaTheme="minorEastAsia"/>
          <w:sz w:val="32"/>
          <w:szCs w:val="32"/>
          <w:highlight w:val="none"/>
          <w:u w:val="single"/>
        </w:rPr>
      </w:pPr>
    </w:p>
    <w:p w14:paraId="5A5EC7F1">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3620DA71">
      <w:pPr>
        <w:jc w:val="center"/>
        <w:rPr>
          <w:rFonts w:cs="宋体" w:asciiTheme="minorEastAsia" w:hAnsiTheme="minorEastAsia" w:eastAsiaTheme="minorEastAsia"/>
          <w:sz w:val="28"/>
          <w:szCs w:val="28"/>
          <w:highlight w:val="none"/>
        </w:rPr>
      </w:pPr>
    </w:p>
    <w:p w14:paraId="638B5766">
      <w:pPr>
        <w:jc w:val="center"/>
        <w:rPr>
          <w:rFonts w:cs="宋体" w:asciiTheme="minorEastAsia" w:hAnsiTheme="minorEastAsia" w:eastAsiaTheme="minorEastAsia"/>
          <w:szCs w:val="21"/>
          <w:highlight w:val="none"/>
        </w:rPr>
      </w:pPr>
    </w:p>
    <w:p w14:paraId="7CF8E641">
      <w:pPr>
        <w:jc w:val="center"/>
        <w:rPr>
          <w:rFonts w:cs="宋体" w:asciiTheme="minorEastAsia" w:hAnsiTheme="minorEastAsia" w:eastAsiaTheme="minorEastAsia"/>
          <w:szCs w:val="21"/>
          <w:highlight w:val="none"/>
        </w:rPr>
      </w:pPr>
    </w:p>
    <w:p w14:paraId="75D44892">
      <w:pPr>
        <w:jc w:val="center"/>
        <w:rPr>
          <w:rFonts w:cs="宋体" w:asciiTheme="minorEastAsia" w:hAnsiTheme="minorEastAsia" w:eastAsiaTheme="minorEastAsia"/>
          <w:szCs w:val="21"/>
          <w:highlight w:val="none"/>
        </w:rPr>
      </w:pPr>
    </w:p>
    <w:p w14:paraId="17DA75AA">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【技术</w:t>
      </w: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】部分</w:t>
      </w:r>
    </w:p>
    <w:p w14:paraId="20E84465">
      <w:pPr>
        <w:spacing w:after="120"/>
        <w:jc w:val="center"/>
        <w:rPr>
          <w:rFonts w:cs="宋体" w:asciiTheme="minorEastAsia" w:hAnsiTheme="minorEastAsia" w:eastAsiaTheme="minorEastAsia"/>
          <w:b/>
          <w:sz w:val="32"/>
          <w:szCs w:val="32"/>
          <w:highlight w:val="none"/>
        </w:rPr>
      </w:pPr>
    </w:p>
    <w:p w14:paraId="681A7496">
      <w:pPr>
        <w:spacing w:after="120"/>
        <w:jc w:val="center"/>
        <w:rPr>
          <w:rFonts w:cs="宋体" w:asciiTheme="minorEastAsia" w:hAnsiTheme="minorEastAsia" w:eastAsiaTheme="minorEastAsia"/>
          <w:b/>
          <w:sz w:val="32"/>
          <w:szCs w:val="32"/>
          <w:highlight w:val="none"/>
        </w:rPr>
      </w:pPr>
    </w:p>
    <w:p w14:paraId="715DCD80">
      <w:pPr>
        <w:spacing w:after="120"/>
        <w:jc w:val="center"/>
        <w:rPr>
          <w:rFonts w:cs="宋体" w:asciiTheme="minorEastAsia" w:hAnsiTheme="minorEastAsia" w:eastAsiaTheme="minorEastAsia"/>
          <w:b/>
          <w:sz w:val="32"/>
          <w:szCs w:val="32"/>
          <w:highlight w:val="none"/>
        </w:rPr>
      </w:pPr>
    </w:p>
    <w:p w14:paraId="36692F33">
      <w:pPr>
        <w:spacing w:after="120"/>
        <w:jc w:val="center"/>
        <w:rPr>
          <w:rFonts w:cs="宋体" w:asciiTheme="minorEastAsia" w:hAnsiTheme="minorEastAsia" w:eastAsiaTheme="minorEastAsia"/>
          <w:b/>
          <w:sz w:val="32"/>
          <w:szCs w:val="32"/>
          <w:highlight w:val="none"/>
        </w:rPr>
      </w:pPr>
    </w:p>
    <w:p w14:paraId="340E4862">
      <w:pPr>
        <w:spacing w:after="120"/>
        <w:jc w:val="center"/>
        <w:rPr>
          <w:rFonts w:cs="宋体" w:asciiTheme="minorEastAsia" w:hAnsiTheme="minorEastAsia" w:eastAsiaTheme="minorEastAsia"/>
          <w:b/>
          <w:sz w:val="32"/>
          <w:szCs w:val="32"/>
          <w:highlight w:val="none"/>
        </w:rPr>
      </w:pPr>
    </w:p>
    <w:p w14:paraId="0E265F2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2F93A371">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418EB628">
      <w:pPr>
        <w:adjustRightInd w:val="0"/>
        <w:snapToGrid w:val="0"/>
        <w:spacing w:line="440" w:lineRule="exact"/>
        <w:jc w:val="center"/>
        <w:rPr>
          <w:rFonts w:cs="宋体" w:asciiTheme="minorEastAsia" w:hAnsiTheme="minorEastAsia" w:eastAsiaTheme="minorEastAsia"/>
          <w:sz w:val="24"/>
          <w:highlight w:val="none"/>
        </w:rPr>
      </w:pPr>
    </w:p>
    <w:p w14:paraId="3F564E97">
      <w:pPr>
        <w:rPr>
          <w:highlight w:val="none"/>
        </w:rPr>
      </w:pPr>
    </w:p>
    <w:p w14:paraId="133AB123">
      <w:pPr>
        <w:rPr>
          <w:highlight w:val="none"/>
        </w:rPr>
      </w:pPr>
    </w:p>
    <w:p w14:paraId="34A4A26F">
      <w:pPr>
        <w:rPr>
          <w:highlight w:val="none"/>
        </w:rPr>
      </w:pPr>
    </w:p>
    <w:p w14:paraId="5955F1A7">
      <w:pPr>
        <w:rPr>
          <w:highlight w:val="none"/>
        </w:rPr>
      </w:pPr>
      <w:r>
        <w:rPr>
          <w:highlight w:val="none"/>
        </w:rPr>
        <w:t>[</w:t>
      </w:r>
      <w:r>
        <w:rPr>
          <w:rFonts w:hint="eastAsia" w:eastAsia="宋体"/>
          <w:highlight w:val="none"/>
          <w:lang w:eastAsia="zh-CN"/>
        </w:rPr>
        <w:t>采购人</w:t>
      </w:r>
      <w:r>
        <w:rPr>
          <w:rFonts w:hint="eastAsia"/>
          <w:highlight w:val="none"/>
        </w:rPr>
        <w:t>可根据项目实际情况修改本文件中的条款、增加新的条款。</w:t>
      </w:r>
      <w:r>
        <w:rPr>
          <w:highlight w:val="none"/>
        </w:rPr>
        <w:t>]</w:t>
      </w:r>
    </w:p>
    <w:p w14:paraId="20056885">
      <w:pPr>
        <w:adjustRightInd w:val="0"/>
        <w:snapToGrid w:val="0"/>
        <w:spacing w:line="440" w:lineRule="exact"/>
        <w:jc w:val="left"/>
        <w:rPr>
          <w:rFonts w:cs="宋体" w:asciiTheme="minorEastAsia" w:hAnsiTheme="minorEastAsia" w:eastAsiaTheme="minorEastAsia"/>
          <w:b/>
          <w:bCs/>
          <w:kern w:val="0"/>
          <w:sz w:val="28"/>
          <w:szCs w:val="28"/>
          <w:highlight w:val="none"/>
        </w:rPr>
        <w:sectPr>
          <w:pgSz w:w="11906" w:h="16838"/>
          <w:pgMar w:top="1440" w:right="1800" w:bottom="1440" w:left="1800"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2CCB7157">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121" w:name="_Toc4838"/>
      <w:bookmarkStart w:id="2122" w:name="_Toc23827"/>
      <w:bookmarkStart w:id="2123" w:name="_Toc14701"/>
      <w:bookmarkStart w:id="2124" w:name="_Toc21479"/>
      <w:bookmarkStart w:id="2125" w:name="_Toc18752"/>
      <w:bookmarkStart w:id="2126" w:name="_Toc19312"/>
      <w:bookmarkStart w:id="2127" w:name="_Toc1632"/>
      <w:bookmarkStart w:id="2128" w:name="_Toc23735"/>
      <w:bookmarkStart w:id="2129" w:name="_Toc807"/>
      <w:bookmarkStart w:id="2130" w:name="_Toc17047"/>
      <w:bookmarkStart w:id="2131" w:name="_Toc18324"/>
      <w:bookmarkStart w:id="2132" w:name="_Toc14197"/>
      <w:bookmarkStart w:id="2133" w:name="_Toc24953"/>
      <w:r>
        <w:rPr>
          <w:rFonts w:hint="eastAsia" w:cs="Times New Roman" w:asciiTheme="minorEastAsia" w:hAnsiTheme="minorEastAsia" w:eastAsiaTheme="minorEastAsia"/>
          <w:b/>
          <w:bCs/>
          <w:kern w:val="2"/>
          <w:sz w:val="24"/>
          <w:szCs w:val="24"/>
          <w:lang w:val="en-US" w:eastAsia="zh-CN" w:bidi="ar-SA"/>
        </w:rPr>
        <w:t>26.</w:t>
      </w:r>
      <w:r>
        <w:rPr>
          <w:rFonts w:hint="eastAsia" w:asciiTheme="minorEastAsia" w:hAnsiTheme="minorEastAsia" w:eastAsiaTheme="minorEastAsia"/>
          <w:sz w:val="24"/>
          <w:szCs w:val="24"/>
          <w:highlight w:val="none"/>
        </w:rPr>
        <w:t>技术服务评审索引表</w:t>
      </w:r>
      <w:bookmarkEnd w:id="2121"/>
      <w:bookmarkEnd w:id="2122"/>
      <w:bookmarkEnd w:id="2123"/>
      <w:bookmarkEnd w:id="2124"/>
      <w:bookmarkEnd w:id="2125"/>
      <w:bookmarkEnd w:id="2126"/>
      <w:bookmarkEnd w:id="2127"/>
      <w:bookmarkEnd w:id="2128"/>
      <w:bookmarkEnd w:id="2129"/>
      <w:bookmarkEnd w:id="2130"/>
      <w:bookmarkEnd w:id="2131"/>
      <w:bookmarkEnd w:id="2132"/>
      <w:bookmarkEnd w:id="2133"/>
    </w:p>
    <w:p w14:paraId="609AFBF7">
      <w:pPr>
        <w:rPr>
          <w:rFonts w:asciiTheme="minorEastAsia" w:hAnsiTheme="minorEastAsia" w:eastAsiaTheme="minorEastAsia"/>
          <w:highlight w:val="none"/>
        </w:rPr>
      </w:pPr>
    </w:p>
    <w:p w14:paraId="4264CCE3">
      <w:pPr>
        <w:jc w:val="center"/>
        <w:rPr>
          <w:rFonts w:asciiTheme="minorEastAsia" w:hAnsiTheme="minorEastAsia" w:eastAsiaTheme="minorEastAsia"/>
          <w:b/>
          <w:sz w:val="24"/>
          <w:highlight w:val="none"/>
        </w:rPr>
      </w:pPr>
      <w:r>
        <w:rPr>
          <w:rFonts w:hint="eastAsia" w:asciiTheme="minorEastAsia" w:hAnsiTheme="minorEastAsia" w:eastAsiaTheme="minorEastAsia"/>
          <w:b/>
          <w:sz w:val="24"/>
          <w:highlight w:val="none"/>
        </w:rPr>
        <w:t>技术服务评审索引表</w:t>
      </w:r>
    </w:p>
    <w:p w14:paraId="4A9B0565">
      <w:pPr>
        <w:jc w:val="center"/>
        <w:rPr>
          <w:rFonts w:asciiTheme="minorEastAsia" w:hAnsiTheme="minorEastAsia" w:eastAsiaTheme="minorEastAsia"/>
          <w:b/>
          <w:highlight w:val="none"/>
        </w:rPr>
      </w:pPr>
    </w:p>
    <w:p w14:paraId="55C04289">
      <w:pPr>
        <w:jc w:val="left"/>
        <w:rPr>
          <w:rFonts w:asciiTheme="minorEastAsia" w:hAnsiTheme="minorEastAsia" w:eastAsiaTheme="minorEastAsia"/>
          <w:b/>
          <w:highlight w:val="none"/>
        </w:rPr>
      </w:pPr>
      <w:r>
        <w:rPr>
          <w:rFonts w:hint="eastAsia" w:asciiTheme="minorEastAsia" w:hAnsiTheme="minorEastAsia" w:eastAsiaTheme="minorEastAsia"/>
          <w:szCs w:val="21"/>
          <w:highlight w:val="none"/>
        </w:rPr>
        <w:t>【此部分内容建议按照第三章</w:t>
      </w:r>
      <w:r>
        <w:rPr>
          <w:rFonts w:hint="eastAsia" w:asciiTheme="minorEastAsia" w:hAnsiTheme="minorEastAsia" w:eastAsiaTheme="minorEastAsia"/>
          <w:szCs w:val="21"/>
          <w:highlight w:val="none"/>
          <w:lang w:eastAsia="zh-CN"/>
        </w:rPr>
        <w:t>评审</w:t>
      </w:r>
      <w:r>
        <w:rPr>
          <w:rFonts w:hint="eastAsia" w:asciiTheme="minorEastAsia" w:hAnsiTheme="minorEastAsia" w:eastAsiaTheme="minorEastAsia"/>
          <w:szCs w:val="21"/>
          <w:highlight w:val="none"/>
        </w:rPr>
        <w:t>办法中的评审标准的顺序一一罗列】</w:t>
      </w:r>
    </w:p>
    <w:tbl>
      <w:tblPr>
        <w:tblStyle w:val="39"/>
        <w:tblW w:w="8491" w:type="dxa"/>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2137"/>
        <w:gridCol w:w="2068"/>
        <w:gridCol w:w="1701"/>
        <w:gridCol w:w="1559"/>
      </w:tblGrid>
      <w:tr w14:paraId="69E1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B28363C">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条款号</w:t>
            </w:r>
          </w:p>
        </w:tc>
        <w:tc>
          <w:tcPr>
            <w:tcW w:w="2137" w:type="dxa"/>
            <w:vAlign w:val="center"/>
          </w:tcPr>
          <w:p w14:paraId="48E6D81B">
            <w:pPr>
              <w:jc w:val="center"/>
              <w:rPr>
                <w:rFonts w:asciiTheme="minorEastAsia" w:hAnsiTheme="minorEastAsia" w:eastAsiaTheme="minorEastAsia"/>
                <w:szCs w:val="21"/>
                <w:highlight w:val="none"/>
              </w:rPr>
            </w:pPr>
            <w:r>
              <w:rPr>
                <w:rFonts w:asciiTheme="minorEastAsia" w:hAnsiTheme="minorEastAsia" w:eastAsiaTheme="minorEastAsia"/>
                <w:szCs w:val="21"/>
                <w:highlight w:val="none"/>
              </w:rPr>
              <w:t>评审因素</w:t>
            </w:r>
          </w:p>
        </w:tc>
        <w:tc>
          <w:tcPr>
            <w:tcW w:w="2068" w:type="dxa"/>
            <w:vAlign w:val="center"/>
          </w:tcPr>
          <w:p w14:paraId="4247968B">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lang w:eastAsia="zh-CN"/>
              </w:rPr>
              <w:t>响应文件</w:t>
            </w:r>
            <w:r>
              <w:rPr>
                <w:rFonts w:hint="eastAsia" w:asciiTheme="minorEastAsia" w:hAnsiTheme="minorEastAsia" w:eastAsiaTheme="minorEastAsia"/>
                <w:szCs w:val="21"/>
                <w:highlight w:val="none"/>
              </w:rPr>
              <w:t>组成</w:t>
            </w:r>
          </w:p>
        </w:tc>
        <w:tc>
          <w:tcPr>
            <w:tcW w:w="1701" w:type="dxa"/>
            <w:vAlign w:val="center"/>
          </w:tcPr>
          <w:p w14:paraId="3066D0EF">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对应页码</w:t>
            </w:r>
          </w:p>
        </w:tc>
        <w:tc>
          <w:tcPr>
            <w:tcW w:w="1559" w:type="dxa"/>
            <w:vAlign w:val="center"/>
          </w:tcPr>
          <w:p w14:paraId="54D6FBD9">
            <w:pPr>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备注或者说明</w:t>
            </w:r>
          </w:p>
        </w:tc>
      </w:tr>
      <w:tr w14:paraId="4EF55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026" w:type="dxa"/>
            <w:vAlign w:val="center"/>
          </w:tcPr>
          <w:p w14:paraId="62660595">
            <w:pPr>
              <w:tabs>
                <w:tab w:val="left" w:pos="720"/>
              </w:tabs>
              <w:spacing w:line="360" w:lineRule="auto"/>
              <w:ind w:left="-2" w:firstLine="1"/>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p>
        </w:tc>
        <w:tc>
          <w:tcPr>
            <w:tcW w:w="2137" w:type="dxa"/>
            <w:vAlign w:val="center"/>
          </w:tcPr>
          <w:p w14:paraId="012F17E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软件产品功能和性能</w:t>
            </w:r>
          </w:p>
        </w:tc>
        <w:tc>
          <w:tcPr>
            <w:tcW w:w="2068" w:type="dxa"/>
          </w:tcPr>
          <w:p w14:paraId="290181E9">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03A97FAA">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6386D9F5">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4E7B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6B0E5993">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p>
        </w:tc>
        <w:tc>
          <w:tcPr>
            <w:tcW w:w="2137" w:type="dxa"/>
            <w:vAlign w:val="center"/>
          </w:tcPr>
          <w:p w14:paraId="788B4AAB">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产品原型展示</w:t>
            </w:r>
          </w:p>
        </w:tc>
        <w:tc>
          <w:tcPr>
            <w:tcW w:w="2068" w:type="dxa"/>
          </w:tcPr>
          <w:p w14:paraId="45E98F0D">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2C32756">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1B87AB6F">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A8B8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2C64C157">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w:t>
            </w:r>
          </w:p>
        </w:tc>
        <w:tc>
          <w:tcPr>
            <w:tcW w:w="2137" w:type="dxa"/>
            <w:vAlign w:val="center"/>
          </w:tcPr>
          <w:p w14:paraId="1ED3E020">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交付质量水平</w:t>
            </w:r>
          </w:p>
        </w:tc>
        <w:tc>
          <w:tcPr>
            <w:tcW w:w="2068" w:type="dxa"/>
          </w:tcPr>
          <w:p w14:paraId="21A8C670">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42BF37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2E3F78A">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0417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026" w:type="dxa"/>
            <w:vAlign w:val="center"/>
          </w:tcPr>
          <w:p w14:paraId="12BB7F8C">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4</w:t>
            </w:r>
          </w:p>
        </w:tc>
        <w:tc>
          <w:tcPr>
            <w:tcW w:w="2137" w:type="dxa"/>
            <w:vAlign w:val="center"/>
          </w:tcPr>
          <w:p w14:paraId="312D7E0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在网运行质量水平</w:t>
            </w:r>
          </w:p>
        </w:tc>
        <w:tc>
          <w:tcPr>
            <w:tcW w:w="2068" w:type="dxa"/>
          </w:tcPr>
          <w:p w14:paraId="11B1E9CA">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79BEAC1B">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0FDCE53">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0612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trPr>
        <w:tc>
          <w:tcPr>
            <w:tcW w:w="1026" w:type="dxa"/>
            <w:vAlign w:val="center"/>
          </w:tcPr>
          <w:p w14:paraId="0826ECCE">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5</w:t>
            </w:r>
          </w:p>
        </w:tc>
        <w:tc>
          <w:tcPr>
            <w:tcW w:w="2137" w:type="dxa"/>
            <w:vAlign w:val="center"/>
          </w:tcPr>
          <w:p w14:paraId="259D8D5E">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技术方案建议</w:t>
            </w:r>
          </w:p>
        </w:tc>
        <w:tc>
          <w:tcPr>
            <w:tcW w:w="2068" w:type="dxa"/>
          </w:tcPr>
          <w:p w14:paraId="3C509209">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273BEC8">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28070A44">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7497D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08276D87">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6</w:t>
            </w:r>
          </w:p>
        </w:tc>
        <w:tc>
          <w:tcPr>
            <w:tcW w:w="2137" w:type="dxa"/>
            <w:vAlign w:val="center"/>
          </w:tcPr>
          <w:p w14:paraId="0604BA11">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开发过程管理</w:t>
            </w:r>
          </w:p>
        </w:tc>
        <w:tc>
          <w:tcPr>
            <w:tcW w:w="2068" w:type="dxa"/>
          </w:tcPr>
          <w:p w14:paraId="7E52A944">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37D433FF">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7DFC854D">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6FD50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5520A0A">
            <w:pPr>
              <w:tabs>
                <w:tab w:val="left" w:pos="720"/>
              </w:tabs>
              <w:spacing w:line="360" w:lineRule="auto"/>
              <w:jc w:val="center"/>
              <w:rPr>
                <w:rFonts w:hint="eastAsia"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7</w:t>
            </w:r>
          </w:p>
        </w:tc>
        <w:tc>
          <w:tcPr>
            <w:tcW w:w="2137" w:type="dxa"/>
            <w:vAlign w:val="center"/>
          </w:tcPr>
          <w:p w14:paraId="4C32297F">
            <w:pPr>
              <w:keepNext w:val="0"/>
              <w:keepLines w:val="0"/>
              <w:widowControl/>
              <w:suppressLineNumbers w:val="0"/>
              <w:jc w:val="center"/>
              <w:textAlignment w:val="center"/>
              <w:rPr>
                <w:rFonts w:asciiTheme="minorEastAsia" w:hAnsiTheme="minorEastAsia" w:eastAsiaTheme="minorEastAsia"/>
                <w:szCs w:val="21"/>
                <w:highlight w:val="none"/>
              </w:rPr>
            </w:pPr>
            <w:r>
              <w:rPr>
                <w:rFonts w:hint="eastAsia" w:ascii="宋体" w:hAnsi="宋体" w:eastAsia="宋体" w:cs="宋体"/>
                <w:i w:val="0"/>
                <w:iCs w:val="0"/>
                <w:color w:val="000000"/>
                <w:kern w:val="0"/>
                <w:sz w:val="20"/>
                <w:szCs w:val="20"/>
                <w:u w:val="none"/>
                <w:lang w:val="en-US" w:eastAsia="zh-CN" w:bidi="ar"/>
              </w:rPr>
              <w:t>服务保障措施</w:t>
            </w:r>
          </w:p>
        </w:tc>
        <w:tc>
          <w:tcPr>
            <w:tcW w:w="2068" w:type="dxa"/>
          </w:tcPr>
          <w:p w14:paraId="409A3EEE">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41633DB6">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0A5F89AB">
            <w:pPr>
              <w:spacing w:line="360" w:lineRule="auto"/>
              <w:ind w:left="420"/>
              <w:jc w:val="both"/>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r w14:paraId="14FFB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6A3E77D6">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8</w:t>
            </w:r>
          </w:p>
        </w:tc>
        <w:tc>
          <w:tcPr>
            <w:tcW w:w="2137" w:type="dxa"/>
            <w:vAlign w:val="center"/>
          </w:tcPr>
          <w:p w14:paraId="33401D1E">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进度安排</w:t>
            </w:r>
          </w:p>
        </w:tc>
        <w:tc>
          <w:tcPr>
            <w:tcW w:w="2068" w:type="dxa"/>
          </w:tcPr>
          <w:p w14:paraId="200E68BC">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62418D16">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44F0E199">
            <w:pPr>
              <w:spacing w:line="360" w:lineRule="auto"/>
              <w:jc w:val="center"/>
              <w:rPr>
                <w:rFonts w:hint="eastAsia" w:asciiTheme="minorEastAsia" w:hAnsiTheme="minorEastAsia" w:eastAsiaTheme="minorEastAsia"/>
                <w:szCs w:val="21"/>
                <w:highlight w:val="none"/>
              </w:rPr>
            </w:pPr>
          </w:p>
        </w:tc>
      </w:tr>
      <w:tr w14:paraId="0F6D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2BB1C212">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9</w:t>
            </w:r>
          </w:p>
        </w:tc>
        <w:tc>
          <w:tcPr>
            <w:tcW w:w="2137" w:type="dxa"/>
            <w:vAlign w:val="center"/>
          </w:tcPr>
          <w:p w14:paraId="1A362C96">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软件安全管理</w:t>
            </w:r>
          </w:p>
        </w:tc>
        <w:tc>
          <w:tcPr>
            <w:tcW w:w="2068" w:type="dxa"/>
          </w:tcPr>
          <w:p w14:paraId="3646D4C9">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7BFDBBEE">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52FFBD7A">
            <w:pPr>
              <w:spacing w:line="360" w:lineRule="auto"/>
              <w:jc w:val="center"/>
              <w:rPr>
                <w:rFonts w:hint="eastAsia" w:asciiTheme="minorEastAsia" w:hAnsiTheme="minorEastAsia" w:eastAsiaTheme="minorEastAsia"/>
                <w:szCs w:val="21"/>
                <w:highlight w:val="none"/>
              </w:rPr>
            </w:pPr>
          </w:p>
        </w:tc>
      </w:tr>
      <w:tr w14:paraId="1AA8E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36F7B03A">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10</w:t>
            </w:r>
          </w:p>
        </w:tc>
        <w:tc>
          <w:tcPr>
            <w:tcW w:w="2137" w:type="dxa"/>
            <w:vAlign w:val="center"/>
          </w:tcPr>
          <w:p w14:paraId="6EE3D4A0">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网络安全管理能力</w:t>
            </w:r>
          </w:p>
        </w:tc>
        <w:tc>
          <w:tcPr>
            <w:tcW w:w="2068" w:type="dxa"/>
          </w:tcPr>
          <w:p w14:paraId="47E4ED62">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5F135ECD">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2F0D7B0A">
            <w:pPr>
              <w:spacing w:line="360" w:lineRule="auto"/>
              <w:jc w:val="center"/>
              <w:rPr>
                <w:rFonts w:hint="eastAsia" w:asciiTheme="minorEastAsia" w:hAnsiTheme="minorEastAsia" w:eastAsiaTheme="minorEastAsia"/>
                <w:szCs w:val="21"/>
                <w:highlight w:val="none"/>
              </w:rPr>
            </w:pPr>
          </w:p>
        </w:tc>
      </w:tr>
      <w:tr w14:paraId="0D52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3EA46B65">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11</w:t>
            </w:r>
          </w:p>
        </w:tc>
        <w:tc>
          <w:tcPr>
            <w:tcW w:w="2137" w:type="dxa"/>
            <w:vAlign w:val="center"/>
          </w:tcPr>
          <w:p w14:paraId="31F856DE">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团队负责人</w:t>
            </w:r>
          </w:p>
        </w:tc>
        <w:tc>
          <w:tcPr>
            <w:tcW w:w="2068" w:type="dxa"/>
          </w:tcPr>
          <w:p w14:paraId="7C9C479B">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0AD5ECC3">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0C9D5E77">
            <w:pPr>
              <w:spacing w:line="360" w:lineRule="auto"/>
              <w:jc w:val="center"/>
              <w:rPr>
                <w:rFonts w:hint="eastAsia" w:asciiTheme="minorEastAsia" w:hAnsiTheme="minorEastAsia" w:eastAsiaTheme="minorEastAsia"/>
                <w:szCs w:val="21"/>
                <w:highlight w:val="none"/>
              </w:rPr>
            </w:pPr>
          </w:p>
        </w:tc>
      </w:tr>
      <w:tr w14:paraId="40000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6A286FF3">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12</w:t>
            </w:r>
          </w:p>
        </w:tc>
        <w:tc>
          <w:tcPr>
            <w:tcW w:w="2137" w:type="dxa"/>
            <w:vAlign w:val="center"/>
          </w:tcPr>
          <w:p w14:paraId="60DF2389">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团队成员</w:t>
            </w:r>
          </w:p>
        </w:tc>
        <w:tc>
          <w:tcPr>
            <w:tcW w:w="2068" w:type="dxa"/>
          </w:tcPr>
          <w:p w14:paraId="15CE7D46">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1ADD1DA6">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2DB7B871">
            <w:pPr>
              <w:spacing w:line="360" w:lineRule="auto"/>
              <w:jc w:val="center"/>
              <w:rPr>
                <w:rFonts w:hint="eastAsia" w:asciiTheme="minorEastAsia" w:hAnsiTheme="minorEastAsia" w:eastAsiaTheme="minorEastAsia"/>
                <w:szCs w:val="21"/>
                <w:highlight w:val="none"/>
              </w:rPr>
            </w:pPr>
          </w:p>
        </w:tc>
      </w:tr>
      <w:tr w14:paraId="7416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exact"/>
        </w:trPr>
        <w:tc>
          <w:tcPr>
            <w:tcW w:w="1026" w:type="dxa"/>
            <w:vAlign w:val="center"/>
          </w:tcPr>
          <w:p w14:paraId="4792443F">
            <w:pPr>
              <w:tabs>
                <w:tab w:val="left" w:pos="720"/>
              </w:tabs>
              <w:spacing w:line="360" w:lineRule="auto"/>
              <w:jc w:val="center"/>
              <w:rPr>
                <w:rFonts w:hint="default" w:asciiTheme="minorEastAsia" w:hAnsiTheme="minorEastAsia" w:eastAsiaTheme="minorEastAsia"/>
                <w:szCs w:val="21"/>
                <w:highlight w:val="none"/>
                <w:lang w:val="en-US" w:eastAsia="zh-CN"/>
              </w:rPr>
            </w:pPr>
            <w:r>
              <w:rPr>
                <w:rFonts w:hint="eastAsia" w:asciiTheme="minorEastAsia" w:hAnsiTheme="minorEastAsia" w:eastAsiaTheme="minorEastAsia"/>
                <w:szCs w:val="21"/>
                <w:highlight w:val="none"/>
                <w:lang w:val="en-US" w:eastAsia="zh-CN"/>
              </w:rPr>
              <w:t>13</w:t>
            </w:r>
          </w:p>
        </w:tc>
        <w:tc>
          <w:tcPr>
            <w:tcW w:w="2137" w:type="dxa"/>
            <w:vAlign w:val="center"/>
          </w:tcPr>
          <w:p w14:paraId="0FB22184">
            <w:pPr>
              <w:keepNext w:val="0"/>
              <w:keepLines w:val="0"/>
              <w:widowControl/>
              <w:suppressLineNumbers w:val="0"/>
              <w:jc w:val="center"/>
              <w:textAlignment w:val="center"/>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著作权证书</w:t>
            </w:r>
          </w:p>
        </w:tc>
        <w:tc>
          <w:tcPr>
            <w:tcW w:w="2068" w:type="dxa"/>
          </w:tcPr>
          <w:p w14:paraId="24831E71">
            <w:pPr>
              <w:tabs>
                <w:tab w:val="left" w:pos="720"/>
              </w:tabs>
              <w:spacing w:line="360" w:lineRule="auto"/>
              <w:ind w:left="420"/>
              <w:jc w:val="center"/>
              <w:rPr>
                <w:rFonts w:asciiTheme="minorEastAsia" w:hAnsiTheme="minorEastAsia" w:eastAsiaTheme="minorEastAsia"/>
                <w:szCs w:val="21"/>
                <w:highlight w:val="none"/>
              </w:rPr>
            </w:pPr>
          </w:p>
        </w:tc>
        <w:tc>
          <w:tcPr>
            <w:tcW w:w="1701" w:type="dxa"/>
            <w:vAlign w:val="center"/>
          </w:tcPr>
          <w:p w14:paraId="0D13BDD4">
            <w:pPr>
              <w:tabs>
                <w:tab w:val="left" w:pos="720"/>
              </w:tabs>
              <w:spacing w:line="360" w:lineRule="auto"/>
              <w:ind w:left="420"/>
              <w:jc w:val="center"/>
              <w:rPr>
                <w:rFonts w:asciiTheme="minorEastAsia" w:hAnsiTheme="minorEastAsia" w:eastAsiaTheme="minorEastAsia"/>
                <w:szCs w:val="21"/>
                <w:highlight w:val="none"/>
              </w:rPr>
            </w:pPr>
          </w:p>
        </w:tc>
        <w:tc>
          <w:tcPr>
            <w:tcW w:w="1559" w:type="dxa"/>
            <w:vAlign w:val="center"/>
          </w:tcPr>
          <w:p w14:paraId="5273C047">
            <w:pPr>
              <w:spacing w:line="360" w:lineRule="auto"/>
              <w:jc w:val="center"/>
              <w:rPr>
                <w:rFonts w:hint="eastAsia" w:asciiTheme="minorEastAsia" w:hAnsiTheme="minorEastAsia" w:eastAsiaTheme="minorEastAsia"/>
                <w:szCs w:val="21"/>
                <w:highlight w:val="none"/>
              </w:rPr>
            </w:pPr>
          </w:p>
        </w:tc>
      </w:tr>
      <w:tr w14:paraId="3A203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26" w:type="dxa"/>
            <w:vAlign w:val="center"/>
          </w:tcPr>
          <w:p w14:paraId="191A5F26">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137" w:type="dxa"/>
            <w:vAlign w:val="center"/>
          </w:tcPr>
          <w:p w14:paraId="011D4EE0">
            <w:pPr>
              <w:tabs>
                <w:tab w:val="left" w:pos="720"/>
              </w:tabs>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c>
          <w:tcPr>
            <w:tcW w:w="2068" w:type="dxa"/>
          </w:tcPr>
          <w:p w14:paraId="248E7253">
            <w:pPr>
              <w:tabs>
                <w:tab w:val="left" w:pos="720"/>
              </w:tabs>
              <w:spacing w:line="360" w:lineRule="auto"/>
              <w:jc w:val="center"/>
              <w:rPr>
                <w:rFonts w:asciiTheme="minorEastAsia" w:hAnsiTheme="minorEastAsia" w:eastAsiaTheme="minorEastAsia"/>
                <w:szCs w:val="21"/>
                <w:highlight w:val="none"/>
              </w:rPr>
            </w:pPr>
          </w:p>
        </w:tc>
        <w:tc>
          <w:tcPr>
            <w:tcW w:w="1701" w:type="dxa"/>
            <w:vAlign w:val="center"/>
          </w:tcPr>
          <w:p w14:paraId="2B82099D">
            <w:pPr>
              <w:tabs>
                <w:tab w:val="left" w:pos="720"/>
              </w:tabs>
              <w:spacing w:line="360" w:lineRule="auto"/>
              <w:jc w:val="center"/>
              <w:rPr>
                <w:rFonts w:asciiTheme="minorEastAsia" w:hAnsiTheme="minorEastAsia" w:eastAsiaTheme="minorEastAsia"/>
                <w:szCs w:val="21"/>
                <w:highlight w:val="none"/>
              </w:rPr>
            </w:pPr>
          </w:p>
        </w:tc>
        <w:tc>
          <w:tcPr>
            <w:tcW w:w="1559" w:type="dxa"/>
            <w:vAlign w:val="center"/>
          </w:tcPr>
          <w:p w14:paraId="75D3D9F1">
            <w:pPr>
              <w:spacing w:line="360" w:lineRule="auto"/>
              <w:jc w:val="cente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w:t>
            </w:r>
          </w:p>
        </w:tc>
      </w:tr>
    </w:tbl>
    <w:p w14:paraId="0F0AA168">
      <w:pPr>
        <w:topLinePunct/>
        <w:spacing w:line="440" w:lineRule="exact"/>
        <w:ind w:left="360"/>
        <w:jc w:val="left"/>
        <w:rPr>
          <w:rFonts w:asciiTheme="minorEastAsia" w:hAnsiTheme="minorEastAsia" w:eastAsiaTheme="minorEastAsia"/>
          <w:b/>
          <w:highlight w:val="none"/>
        </w:rPr>
      </w:pPr>
    </w:p>
    <w:p w14:paraId="7FABFBC5">
      <w:pPr>
        <w:topLinePunct/>
        <w:spacing w:line="440" w:lineRule="exact"/>
        <w:jc w:val="left"/>
        <w:rPr>
          <w:rFonts w:asciiTheme="minorEastAsia" w:hAnsiTheme="minorEastAsia" w:eastAsiaTheme="minorEastAsia"/>
          <w:b/>
          <w:highlight w:val="none"/>
        </w:rPr>
        <w:sectPr>
          <w:pgSz w:w="11906" w:h="16838"/>
          <w:pgMar w:top="1440" w:right="1797" w:bottom="1440" w:left="1797" w:header="851" w:footer="992" w:gutter="0"/>
          <w:pgNumType w:fmt="decimal"/>
          <w:cols w:space="425"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p>
    <w:p w14:paraId="2CC38CF9">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134" w:name="_Toc25986"/>
      <w:bookmarkStart w:id="2135" w:name="_Toc14165"/>
      <w:bookmarkStart w:id="2136" w:name="_Toc8645"/>
      <w:bookmarkStart w:id="2137" w:name="_Toc9928"/>
      <w:bookmarkStart w:id="2138" w:name="_Toc15506"/>
      <w:bookmarkStart w:id="2139" w:name="_Toc3954"/>
      <w:bookmarkStart w:id="2140" w:name="_Toc22846"/>
      <w:bookmarkStart w:id="2141" w:name="_Toc31604"/>
      <w:r>
        <w:rPr>
          <w:rFonts w:hint="eastAsia" w:asciiTheme="minorEastAsia" w:hAnsiTheme="minorEastAsia" w:eastAsiaTheme="minorEastAsia"/>
          <w:sz w:val="24"/>
          <w:szCs w:val="24"/>
          <w:highlight w:val="none"/>
          <w:lang w:val="en-US" w:eastAsia="zh-CN"/>
        </w:rPr>
        <w:t>27</w:t>
      </w:r>
      <w:r>
        <w:rPr>
          <w:rFonts w:hint="eastAsia" w:asciiTheme="minorEastAsia" w:hAnsiTheme="minorEastAsia" w:eastAsiaTheme="minorEastAsia"/>
          <w:sz w:val="24"/>
          <w:szCs w:val="24"/>
          <w:highlight w:val="none"/>
        </w:rPr>
        <w:t>.技术规范书点对点响应</w:t>
      </w:r>
      <w:bookmarkEnd w:id="2134"/>
      <w:bookmarkEnd w:id="2135"/>
      <w:bookmarkEnd w:id="2136"/>
      <w:bookmarkEnd w:id="2137"/>
      <w:bookmarkEnd w:id="2138"/>
      <w:bookmarkEnd w:id="2139"/>
      <w:bookmarkEnd w:id="2140"/>
      <w:bookmarkEnd w:id="2141"/>
    </w:p>
    <w:p w14:paraId="204929F4">
      <w:pPr>
        <w:rPr>
          <w:rFonts w:hint="eastAsia" w:asciiTheme="minorEastAsia" w:hAnsiTheme="minorEastAsia" w:eastAsiaTheme="minorEastAsia"/>
          <w:highlight w:val="none"/>
        </w:rPr>
      </w:pPr>
    </w:p>
    <w:p w14:paraId="68092EB5">
      <w:pPr>
        <w:rPr>
          <w:rFonts w:hint="eastAsia" w:asciiTheme="minorEastAsia" w:hAnsiTheme="minorEastAsia" w:eastAsiaTheme="minorEastAsia"/>
          <w:highlight w:val="none"/>
        </w:rPr>
      </w:pPr>
    </w:p>
    <w:p w14:paraId="7D49EA41">
      <w:pPr>
        <w:rPr>
          <w:rFonts w:asciiTheme="minorEastAsia" w:hAnsiTheme="minorEastAsia" w:eastAsiaTheme="minorEastAsia"/>
          <w:highlight w:val="none"/>
        </w:rPr>
      </w:pPr>
    </w:p>
    <w:p w14:paraId="56750B46">
      <w:pPr>
        <w:rPr>
          <w:rFonts w:asciiTheme="minorEastAsia" w:hAnsiTheme="minorEastAsia" w:eastAsiaTheme="minorEastAsia"/>
          <w:highlight w:val="none"/>
        </w:rPr>
      </w:pPr>
    </w:p>
    <w:p w14:paraId="02DB5137">
      <w:pPr>
        <w:topLinePunct/>
        <w:spacing w:line="440" w:lineRule="exact"/>
        <w:ind w:left="422"/>
        <w:jc w:val="left"/>
        <w:rPr>
          <w:rFonts w:asciiTheme="minorEastAsia" w:hAnsiTheme="minorEastAsia" w:eastAsiaTheme="minorEastAsia"/>
          <w:highlight w:val="none"/>
        </w:rPr>
      </w:pPr>
    </w:p>
    <w:p w14:paraId="6B04A599">
      <w:pPr>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br w:type="page"/>
      </w:r>
    </w:p>
    <w:p w14:paraId="3012F975">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142" w:name="_Toc5683"/>
      <w:bookmarkStart w:id="2143" w:name="_Toc23865"/>
      <w:bookmarkStart w:id="2144" w:name="_Toc29978"/>
      <w:bookmarkStart w:id="2145" w:name="_Toc16410"/>
      <w:bookmarkStart w:id="2146" w:name="_Toc8902"/>
      <w:bookmarkStart w:id="2147" w:name="_Toc9107"/>
      <w:bookmarkStart w:id="2148" w:name="_Toc30280"/>
      <w:bookmarkStart w:id="2149" w:name="_Toc17245"/>
      <w:bookmarkStart w:id="2150" w:name="_Toc22839"/>
      <w:bookmarkStart w:id="2151" w:name="_Toc9387"/>
      <w:r>
        <w:rPr>
          <w:rFonts w:hint="eastAsia" w:cs="Times New Roman" w:asciiTheme="minorEastAsia" w:hAnsiTheme="minorEastAsia" w:eastAsiaTheme="minorEastAsia"/>
          <w:b/>
          <w:bCs/>
          <w:kern w:val="2"/>
          <w:sz w:val="24"/>
          <w:szCs w:val="24"/>
          <w:lang w:val="en-US" w:eastAsia="zh-CN" w:bidi="ar-SA"/>
        </w:rPr>
        <w:t>28.技术规范书偏离表</w:t>
      </w:r>
      <w:bookmarkEnd w:id="2142"/>
      <w:bookmarkEnd w:id="2143"/>
      <w:bookmarkEnd w:id="2144"/>
      <w:bookmarkEnd w:id="2145"/>
      <w:bookmarkEnd w:id="2146"/>
      <w:bookmarkEnd w:id="2147"/>
      <w:bookmarkEnd w:id="2148"/>
      <w:bookmarkEnd w:id="2149"/>
      <w:bookmarkEnd w:id="2150"/>
      <w:bookmarkEnd w:id="2151"/>
    </w:p>
    <w:p w14:paraId="2022167E">
      <w:pPr>
        <w:rPr>
          <w:rFonts w:cs="宋体" w:asciiTheme="minorEastAsia" w:hAnsiTheme="minorEastAsia" w:eastAsiaTheme="minorEastAsia"/>
        </w:rPr>
      </w:pPr>
    </w:p>
    <w:p w14:paraId="1009010C">
      <w:pPr>
        <w:pStyle w:val="48"/>
        <w:ind w:firstLine="0" w:firstLineChars="0"/>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技术</w:t>
      </w:r>
      <w:r>
        <w:rPr>
          <w:rFonts w:hint="eastAsia" w:asciiTheme="minorEastAsia" w:hAnsiTheme="minorEastAsia" w:eastAsiaTheme="minorEastAsia"/>
          <w:b/>
          <w:sz w:val="24"/>
        </w:rPr>
        <w:t>规范书偏离表</w:t>
      </w:r>
    </w:p>
    <w:p w14:paraId="5260B7B4">
      <w:pPr>
        <w:jc w:val="center"/>
        <w:rPr>
          <w:rFonts w:cs="宋体" w:asciiTheme="minorEastAsia" w:hAnsiTheme="minorEastAsia" w:eastAsiaTheme="minorEastAsia"/>
          <w:sz w:val="24"/>
        </w:rPr>
      </w:pPr>
    </w:p>
    <w:p w14:paraId="2BD8804C">
      <w:pPr>
        <w:adjustRightInd w:val="0"/>
        <w:snapToGrid w:val="0"/>
        <w:spacing w:after="120" w:line="440" w:lineRule="exact"/>
        <w:rPr>
          <w:rFonts w:cs="宋体" w:asciiTheme="minorEastAsia" w:hAnsiTheme="minorEastAsia" w:eastAsiaTheme="minorEastAsia"/>
          <w:szCs w:val="21"/>
        </w:rPr>
      </w:pPr>
      <w:r>
        <w:rPr>
          <w:rFonts w:hint="eastAsia" w:cs="宋体" w:asciiTheme="minorEastAsia" w:hAnsiTheme="minorEastAsia" w:eastAsiaTheme="minorEastAsia"/>
          <w:szCs w:val="21"/>
        </w:rPr>
        <w:t>项目</w:t>
      </w:r>
      <w:r>
        <w:rPr>
          <w:rFonts w:cs="宋体" w:asciiTheme="minorEastAsia" w:hAnsiTheme="minorEastAsia" w:eastAsiaTheme="minorEastAsia"/>
          <w:szCs w:val="21"/>
        </w:rPr>
        <w:t>名称：</w:t>
      </w:r>
      <w:r>
        <w:rPr>
          <w:rFonts w:cs="宋体" w:asciiTheme="minorEastAsia" w:hAnsiTheme="minorEastAsia" w:eastAsiaTheme="minorEastAsia"/>
          <w:szCs w:val="21"/>
          <w:u w:val="single"/>
        </w:rPr>
        <w:t xml:space="preserve">                     </w:t>
      </w:r>
      <w:r>
        <w:rPr>
          <w:rFonts w:cs="宋体" w:asciiTheme="minorEastAsia" w:hAnsiTheme="minorEastAsia" w:eastAsiaTheme="minorEastAsia"/>
          <w:szCs w:val="21"/>
        </w:rPr>
        <w:t>比选编号：</w:t>
      </w:r>
      <w:r>
        <w:rPr>
          <w:rFonts w:cs="宋体" w:asciiTheme="minorEastAsia" w:hAnsiTheme="minorEastAsia" w:eastAsiaTheme="minorEastAsia"/>
          <w:szCs w:val="21"/>
          <w:u w:val="single"/>
        </w:rPr>
        <w:t xml:space="preserve">                </w:t>
      </w:r>
      <w:r>
        <w:rPr>
          <w:rFonts w:hint="eastAsia" w:cs="宋体" w:asciiTheme="minorEastAsia" w:hAnsiTheme="minorEastAsia" w:eastAsiaTheme="minorEastAsia"/>
          <w:szCs w:val="21"/>
        </w:rPr>
        <w:t>分包（标包）</w:t>
      </w:r>
      <w:r>
        <w:rPr>
          <w:rFonts w:cs="宋体" w:asciiTheme="minorEastAsia" w:hAnsiTheme="minorEastAsia" w:eastAsiaTheme="minorEastAsia"/>
          <w:szCs w:val="21"/>
        </w:rPr>
        <w:t>：</w:t>
      </w:r>
      <w:r>
        <w:rPr>
          <w:rFonts w:cs="宋体" w:asciiTheme="minorEastAsia" w:hAnsiTheme="minorEastAsia" w:eastAsiaTheme="minorEastAsia"/>
          <w:szCs w:val="21"/>
          <w:u w:val="single"/>
        </w:rPr>
        <w:t xml:space="preserve">       </w:t>
      </w:r>
    </w:p>
    <w:tbl>
      <w:tblPr>
        <w:tblStyle w:val="39"/>
        <w:tblW w:w="8438" w:type="dxa"/>
        <w:tblInd w:w="4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85"/>
        <w:gridCol w:w="1746"/>
        <w:gridCol w:w="2208"/>
        <w:gridCol w:w="2435"/>
        <w:gridCol w:w="1364"/>
      </w:tblGrid>
      <w:tr w14:paraId="0D52A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3" w:hRule="atLeast"/>
        </w:trPr>
        <w:tc>
          <w:tcPr>
            <w:tcW w:w="685" w:type="dxa"/>
            <w:vAlign w:val="center"/>
          </w:tcPr>
          <w:p w14:paraId="74995C26">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序号</w:t>
            </w:r>
          </w:p>
        </w:tc>
        <w:tc>
          <w:tcPr>
            <w:tcW w:w="1746" w:type="dxa"/>
            <w:vAlign w:val="center"/>
          </w:tcPr>
          <w:p w14:paraId="4D4C19BE">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文件条目号</w:t>
            </w:r>
          </w:p>
        </w:tc>
        <w:tc>
          <w:tcPr>
            <w:tcW w:w="2208" w:type="dxa"/>
            <w:vAlign w:val="center"/>
          </w:tcPr>
          <w:p w14:paraId="27077C14">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询比</w:t>
            </w:r>
            <w:r>
              <w:rPr>
                <w:rFonts w:cs="宋体" w:asciiTheme="minorEastAsia" w:hAnsiTheme="minorEastAsia" w:eastAsiaTheme="minorEastAsia"/>
                <w:szCs w:val="21"/>
              </w:rPr>
              <w:t>文件的</w:t>
            </w:r>
            <w:r>
              <w:rPr>
                <w:rFonts w:hint="eastAsia" w:cs="宋体" w:asciiTheme="minorEastAsia" w:hAnsiTheme="minorEastAsia" w:eastAsiaTheme="minorEastAsia"/>
                <w:szCs w:val="21"/>
                <w:lang w:val="en-US" w:eastAsia="zh-CN"/>
              </w:rPr>
              <w:t>技术</w:t>
            </w:r>
            <w:r>
              <w:rPr>
                <w:rFonts w:cs="宋体" w:asciiTheme="minorEastAsia" w:hAnsiTheme="minorEastAsia" w:eastAsiaTheme="minorEastAsia"/>
                <w:szCs w:val="21"/>
              </w:rPr>
              <w:t>条款</w:t>
            </w:r>
          </w:p>
        </w:tc>
        <w:tc>
          <w:tcPr>
            <w:tcW w:w="2435" w:type="dxa"/>
            <w:vAlign w:val="center"/>
          </w:tcPr>
          <w:p w14:paraId="166075E8">
            <w:pPr>
              <w:adjustRightInd w:val="0"/>
              <w:snapToGrid w:val="0"/>
              <w:spacing w:line="4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lang w:val="en-US" w:eastAsia="zh-CN"/>
              </w:rPr>
              <w:t>响应</w:t>
            </w:r>
            <w:r>
              <w:rPr>
                <w:rFonts w:hint="eastAsia" w:cs="宋体" w:asciiTheme="minorEastAsia" w:hAnsiTheme="minorEastAsia" w:eastAsiaTheme="minorEastAsia"/>
                <w:szCs w:val="21"/>
              </w:rPr>
              <w:t>文件</w:t>
            </w:r>
            <w:r>
              <w:rPr>
                <w:rFonts w:cs="宋体" w:asciiTheme="minorEastAsia" w:hAnsiTheme="minorEastAsia" w:eastAsiaTheme="minorEastAsia"/>
                <w:szCs w:val="21"/>
              </w:rPr>
              <w:t>偏离情况</w:t>
            </w:r>
          </w:p>
        </w:tc>
        <w:tc>
          <w:tcPr>
            <w:tcW w:w="1364" w:type="dxa"/>
            <w:vAlign w:val="center"/>
          </w:tcPr>
          <w:p w14:paraId="1BCB0948">
            <w:pPr>
              <w:adjustRightInd w:val="0"/>
              <w:snapToGrid w:val="0"/>
              <w:spacing w:line="4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说明</w:t>
            </w:r>
          </w:p>
        </w:tc>
      </w:tr>
      <w:tr w14:paraId="24303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1DB28E0">
            <w:pPr>
              <w:adjustRightInd w:val="0"/>
              <w:snapToGrid w:val="0"/>
              <w:spacing w:line="440" w:lineRule="exact"/>
              <w:rPr>
                <w:rFonts w:cs="宋体" w:asciiTheme="minorEastAsia" w:hAnsiTheme="minorEastAsia" w:eastAsiaTheme="minorEastAsia"/>
                <w:szCs w:val="21"/>
              </w:rPr>
            </w:pPr>
          </w:p>
        </w:tc>
        <w:tc>
          <w:tcPr>
            <w:tcW w:w="1746" w:type="dxa"/>
            <w:vAlign w:val="center"/>
          </w:tcPr>
          <w:p w14:paraId="621C5221">
            <w:pPr>
              <w:adjustRightInd w:val="0"/>
              <w:snapToGrid w:val="0"/>
              <w:spacing w:line="440" w:lineRule="exact"/>
              <w:rPr>
                <w:rFonts w:cs="宋体" w:asciiTheme="minorEastAsia" w:hAnsiTheme="minorEastAsia" w:eastAsiaTheme="minorEastAsia"/>
                <w:szCs w:val="21"/>
              </w:rPr>
            </w:pPr>
          </w:p>
        </w:tc>
        <w:tc>
          <w:tcPr>
            <w:tcW w:w="2208" w:type="dxa"/>
            <w:vAlign w:val="center"/>
          </w:tcPr>
          <w:p w14:paraId="375388F1">
            <w:pPr>
              <w:adjustRightInd w:val="0"/>
              <w:snapToGrid w:val="0"/>
              <w:spacing w:line="440" w:lineRule="exact"/>
              <w:rPr>
                <w:rFonts w:cs="宋体" w:asciiTheme="minorEastAsia" w:hAnsiTheme="minorEastAsia" w:eastAsiaTheme="minorEastAsia"/>
                <w:szCs w:val="21"/>
              </w:rPr>
            </w:pPr>
          </w:p>
        </w:tc>
        <w:tc>
          <w:tcPr>
            <w:tcW w:w="2435" w:type="dxa"/>
            <w:vAlign w:val="center"/>
          </w:tcPr>
          <w:p w14:paraId="21722B41">
            <w:pPr>
              <w:adjustRightInd w:val="0"/>
              <w:snapToGrid w:val="0"/>
              <w:spacing w:line="440" w:lineRule="exact"/>
              <w:rPr>
                <w:rFonts w:cs="宋体" w:asciiTheme="minorEastAsia" w:hAnsiTheme="minorEastAsia" w:eastAsiaTheme="minorEastAsia"/>
                <w:szCs w:val="21"/>
              </w:rPr>
            </w:pPr>
          </w:p>
        </w:tc>
        <w:tc>
          <w:tcPr>
            <w:tcW w:w="1364" w:type="dxa"/>
            <w:vAlign w:val="center"/>
          </w:tcPr>
          <w:p w14:paraId="4FB7564F">
            <w:pPr>
              <w:adjustRightInd w:val="0"/>
              <w:snapToGrid w:val="0"/>
              <w:spacing w:line="440" w:lineRule="exact"/>
              <w:rPr>
                <w:rFonts w:cs="宋体" w:asciiTheme="minorEastAsia" w:hAnsiTheme="minorEastAsia" w:eastAsiaTheme="minorEastAsia"/>
                <w:szCs w:val="21"/>
              </w:rPr>
            </w:pPr>
          </w:p>
        </w:tc>
      </w:tr>
      <w:tr w14:paraId="4D9EF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7933002">
            <w:pPr>
              <w:adjustRightInd w:val="0"/>
              <w:snapToGrid w:val="0"/>
              <w:spacing w:line="440" w:lineRule="exact"/>
              <w:rPr>
                <w:rFonts w:cs="宋体" w:asciiTheme="minorEastAsia" w:hAnsiTheme="minorEastAsia" w:eastAsiaTheme="minorEastAsia"/>
                <w:szCs w:val="21"/>
              </w:rPr>
            </w:pPr>
          </w:p>
        </w:tc>
        <w:tc>
          <w:tcPr>
            <w:tcW w:w="1746" w:type="dxa"/>
            <w:vAlign w:val="center"/>
          </w:tcPr>
          <w:p w14:paraId="46CDC90C">
            <w:pPr>
              <w:adjustRightInd w:val="0"/>
              <w:snapToGrid w:val="0"/>
              <w:spacing w:line="440" w:lineRule="exact"/>
              <w:rPr>
                <w:rFonts w:cs="宋体" w:asciiTheme="minorEastAsia" w:hAnsiTheme="minorEastAsia" w:eastAsiaTheme="minorEastAsia"/>
                <w:szCs w:val="21"/>
              </w:rPr>
            </w:pPr>
          </w:p>
        </w:tc>
        <w:tc>
          <w:tcPr>
            <w:tcW w:w="2208" w:type="dxa"/>
            <w:vAlign w:val="center"/>
          </w:tcPr>
          <w:p w14:paraId="03BF11BA">
            <w:pPr>
              <w:adjustRightInd w:val="0"/>
              <w:snapToGrid w:val="0"/>
              <w:spacing w:line="440" w:lineRule="exact"/>
              <w:rPr>
                <w:rFonts w:cs="宋体" w:asciiTheme="minorEastAsia" w:hAnsiTheme="minorEastAsia" w:eastAsiaTheme="minorEastAsia"/>
                <w:szCs w:val="21"/>
              </w:rPr>
            </w:pPr>
          </w:p>
        </w:tc>
        <w:tc>
          <w:tcPr>
            <w:tcW w:w="2435" w:type="dxa"/>
            <w:vAlign w:val="center"/>
          </w:tcPr>
          <w:p w14:paraId="618F1BFE">
            <w:pPr>
              <w:adjustRightInd w:val="0"/>
              <w:snapToGrid w:val="0"/>
              <w:spacing w:line="440" w:lineRule="exact"/>
              <w:rPr>
                <w:rFonts w:cs="宋体" w:asciiTheme="minorEastAsia" w:hAnsiTheme="minorEastAsia" w:eastAsiaTheme="minorEastAsia"/>
                <w:szCs w:val="21"/>
              </w:rPr>
            </w:pPr>
          </w:p>
        </w:tc>
        <w:tc>
          <w:tcPr>
            <w:tcW w:w="1364" w:type="dxa"/>
            <w:vAlign w:val="center"/>
          </w:tcPr>
          <w:p w14:paraId="4D40418D">
            <w:pPr>
              <w:adjustRightInd w:val="0"/>
              <w:snapToGrid w:val="0"/>
              <w:spacing w:line="440" w:lineRule="exact"/>
              <w:rPr>
                <w:rFonts w:cs="宋体" w:asciiTheme="minorEastAsia" w:hAnsiTheme="minorEastAsia" w:eastAsiaTheme="minorEastAsia"/>
                <w:szCs w:val="21"/>
              </w:rPr>
            </w:pPr>
          </w:p>
        </w:tc>
      </w:tr>
      <w:tr w14:paraId="05C568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29D2BD34">
            <w:pPr>
              <w:adjustRightInd w:val="0"/>
              <w:snapToGrid w:val="0"/>
              <w:spacing w:line="440" w:lineRule="exact"/>
              <w:rPr>
                <w:rFonts w:cs="宋体" w:asciiTheme="minorEastAsia" w:hAnsiTheme="minorEastAsia" w:eastAsiaTheme="minorEastAsia"/>
                <w:szCs w:val="21"/>
              </w:rPr>
            </w:pPr>
          </w:p>
        </w:tc>
        <w:tc>
          <w:tcPr>
            <w:tcW w:w="1746" w:type="dxa"/>
            <w:vAlign w:val="center"/>
          </w:tcPr>
          <w:p w14:paraId="5DCE1F7E">
            <w:pPr>
              <w:adjustRightInd w:val="0"/>
              <w:snapToGrid w:val="0"/>
              <w:spacing w:line="440" w:lineRule="exact"/>
              <w:rPr>
                <w:rFonts w:cs="宋体" w:asciiTheme="minorEastAsia" w:hAnsiTheme="minorEastAsia" w:eastAsiaTheme="minorEastAsia"/>
                <w:szCs w:val="21"/>
              </w:rPr>
            </w:pPr>
          </w:p>
        </w:tc>
        <w:tc>
          <w:tcPr>
            <w:tcW w:w="2208" w:type="dxa"/>
            <w:vAlign w:val="center"/>
          </w:tcPr>
          <w:p w14:paraId="0D8E1637">
            <w:pPr>
              <w:adjustRightInd w:val="0"/>
              <w:snapToGrid w:val="0"/>
              <w:spacing w:line="440" w:lineRule="exact"/>
              <w:rPr>
                <w:rFonts w:cs="宋体" w:asciiTheme="minorEastAsia" w:hAnsiTheme="minorEastAsia" w:eastAsiaTheme="minorEastAsia"/>
                <w:szCs w:val="21"/>
              </w:rPr>
            </w:pPr>
          </w:p>
        </w:tc>
        <w:tc>
          <w:tcPr>
            <w:tcW w:w="2435" w:type="dxa"/>
            <w:vAlign w:val="center"/>
          </w:tcPr>
          <w:p w14:paraId="34B7FCD1">
            <w:pPr>
              <w:adjustRightInd w:val="0"/>
              <w:snapToGrid w:val="0"/>
              <w:spacing w:line="440" w:lineRule="exact"/>
              <w:rPr>
                <w:rFonts w:cs="宋体" w:asciiTheme="minorEastAsia" w:hAnsiTheme="minorEastAsia" w:eastAsiaTheme="minorEastAsia"/>
                <w:szCs w:val="21"/>
              </w:rPr>
            </w:pPr>
          </w:p>
        </w:tc>
        <w:tc>
          <w:tcPr>
            <w:tcW w:w="1364" w:type="dxa"/>
            <w:vAlign w:val="center"/>
          </w:tcPr>
          <w:p w14:paraId="27360472">
            <w:pPr>
              <w:adjustRightInd w:val="0"/>
              <w:snapToGrid w:val="0"/>
              <w:spacing w:line="440" w:lineRule="exact"/>
              <w:rPr>
                <w:rFonts w:cs="宋体" w:asciiTheme="minorEastAsia" w:hAnsiTheme="minorEastAsia" w:eastAsiaTheme="minorEastAsia"/>
                <w:szCs w:val="21"/>
              </w:rPr>
            </w:pPr>
          </w:p>
        </w:tc>
      </w:tr>
      <w:tr w14:paraId="498BA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6" w:hRule="atLeast"/>
        </w:trPr>
        <w:tc>
          <w:tcPr>
            <w:tcW w:w="685" w:type="dxa"/>
            <w:vAlign w:val="center"/>
          </w:tcPr>
          <w:p w14:paraId="2416FA7F">
            <w:pPr>
              <w:adjustRightInd w:val="0"/>
              <w:snapToGrid w:val="0"/>
              <w:spacing w:line="440" w:lineRule="exact"/>
              <w:rPr>
                <w:rFonts w:cs="宋体" w:asciiTheme="minorEastAsia" w:hAnsiTheme="minorEastAsia" w:eastAsiaTheme="minorEastAsia"/>
                <w:szCs w:val="21"/>
              </w:rPr>
            </w:pPr>
          </w:p>
        </w:tc>
        <w:tc>
          <w:tcPr>
            <w:tcW w:w="1746" w:type="dxa"/>
            <w:vAlign w:val="center"/>
          </w:tcPr>
          <w:p w14:paraId="7DB79228">
            <w:pPr>
              <w:adjustRightInd w:val="0"/>
              <w:snapToGrid w:val="0"/>
              <w:spacing w:line="440" w:lineRule="exact"/>
              <w:rPr>
                <w:rFonts w:cs="宋体" w:asciiTheme="minorEastAsia" w:hAnsiTheme="minorEastAsia" w:eastAsiaTheme="minorEastAsia"/>
                <w:szCs w:val="21"/>
              </w:rPr>
            </w:pPr>
          </w:p>
        </w:tc>
        <w:tc>
          <w:tcPr>
            <w:tcW w:w="2208" w:type="dxa"/>
            <w:vAlign w:val="center"/>
          </w:tcPr>
          <w:p w14:paraId="2506A79C">
            <w:pPr>
              <w:adjustRightInd w:val="0"/>
              <w:snapToGrid w:val="0"/>
              <w:spacing w:line="440" w:lineRule="exact"/>
              <w:rPr>
                <w:rFonts w:cs="宋体" w:asciiTheme="minorEastAsia" w:hAnsiTheme="minorEastAsia" w:eastAsiaTheme="minorEastAsia"/>
                <w:szCs w:val="21"/>
              </w:rPr>
            </w:pPr>
          </w:p>
        </w:tc>
        <w:tc>
          <w:tcPr>
            <w:tcW w:w="2435" w:type="dxa"/>
            <w:vAlign w:val="center"/>
          </w:tcPr>
          <w:p w14:paraId="05B3F9FD">
            <w:pPr>
              <w:adjustRightInd w:val="0"/>
              <w:snapToGrid w:val="0"/>
              <w:spacing w:line="440" w:lineRule="exact"/>
              <w:rPr>
                <w:rFonts w:cs="宋体" w:asciiTheme="minorEastAsia" w:hAnsiTheme="minorEastAsia" w:eastAsiaTheme="minorEastAsia"/>
                <w:szCs w:val="21"/>
              </w:rPr>
            </w:pPr>
          </w:p>
        </w:tc>
        <w:tc>
          <w:tcPr>
            <w:tcW w:w="1364" w:type="dxa"/>
            <w:vAlign w:val="center"/>
          </w:tcPr>
          <w:p w14:paraId="378F8751">
            <w:pPr>
              <w:adjustRightInd w:val="0"/>
              <w:snapToGrid w:val="0"/>
              <w:spacing w:line="440" w:lineRule="exact"/>
              <w:rPr>
                <w:rFonts w:cs="宋体" w:asciiTheme="minorEastAsia" w:hAnsiTheme="minorEastAsia" w:eastAsiaTheme="minorEastAsia"/>
                <w:szCs w:val="21"/>
              </w:rPr>
            </w:pPr>
          </w:p>
        </w:tc>
      </w:tr>
      <w:tr w14:paraId="5CB01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3" w:hRule="atLeast"/>
        </w:trPr>
        <w:tc>
          <w:tcPr>
            <w:tcW w:w="685" w:type="dxa"/>
            <w:vAlign w:val="center"/>
          </w:tcPr>
          <w:p w14:paraId="11FA9F90">
            <w:pPr>
              <w:adjustRightInd w:val="0"/>
              <w:snapToGrid w:val="0"/>
              <w:spacing w:line="440" w:lineRule="exact"/>
              <w:rPr>
                <w:rFonts w:cs="宋体" w:asciiTheme="minorEastAsia" w:hAnsiTheme="minorEastAsia" w:eastAsiaTheme="minorEastAsia"/>
                <w:szCs w:val="21"/>
              </w:rPr>
            </w:pPr>
          </w:p>
        </w:tc>
        <w:tc>
          <w:tcPr>
            <w:tcW w:w="1746" w:type="dxa"/>
            <w:vAlign w:val="center"/>
          </w:tcPr>
          <w:p w14:paraId="38D4E04B">
            <w:pPr>
              <w:adjustRightInd w:val="0"/>
              <w:snapToGrid w:val="0"/>
              <w:spacing w:line="440" w:lineRule="exact"/>
              <w:rPr>
                <w:rFonts w:cs="宋体" w:asciiTheme="minorEastAsia" w:hAnsiTheme="minorEastAsia" w:eastAsiaTheme="minorEastAsia"/>
                <w:szCs w:val="21"/>
              </w:rPr>
            </w:pPr>
          </w:p>
        </w:tc>
        <w:tc>
          <w:tcPr>
            <w:tcW w:w="2208" w:type="dxa"/>
            <w:vAlign w:val="center"/>
          </w:tcPr>
          <w:p w14:paraId="3CF530C8">
            <w:pPr>
              <w:adjustRightInd w:val="0"/>
              <w:snapToGrid w:val="0"/>
              <w:spacing w:line="440" w:lineRule="exact"/>
              <w:rPr>
                <w:rFonts w:cs="宋体" w:asciiTheme="minorEastAsia" w:hAnsiTheme="minorEastAsia" w:eastAsiaTheme="minorEastAsia"/>
                <w:szCs w:val="21"/>
              </w:rPr>
            </w:pPr>
          </w:p>
        </w:tc>
        <w:tc>
          <w:tcPr>
            <w:tcW w:w="2435" w:type="dxa"/>
            <w:vAlign w:val="center"/>
          </w:tcPr>
          <w:p w14:paraId="49C7FB25">
            <w:pPr>
              <w:adjustRightInd w:val="0"/>
              <w:snapToGrid w:val="0"/>
              <w:spacing w:line="440" w:lineRule="exact"/>
              <w:rPr>
                <w:rFonts w:cs="宋体" w:asciiTheme="minorEastAsia" w:hAnsiTheme="minorEastAsia" w:eastAsiaTheme="minorEastAsia"/>
                <w:szCs w:val="21"/>
              </w:rPr>
            </w:pPr>
          </w:p>
        </w:tc>
        <w:tc>
          <w:tcPr>
            <w:tcW w:w="1364" w:type="dxa"/>
            <w:vAlign w:val="center"/>
          </w:tcPr>
          <w:p w14:paraId="02549879">
            <w:pPr>
              <w:adjustRightInd w:val="0"/>
              <w:snapToGrid w:val="0"/>
              <w:spacing w:line="440" w:lineRule="exact"/>
              <w:rPr>
                <w:rFonts w:cs="宋体" w:asciiTheme="minorEastAsia" w:hAnsiTheme="minorEastAsia" w:eastAsiaTheme="minorEastAsia"/>
                <w:szCs w:val="21"/>
              </w:rPr>
            </w:pPr>
          </w:p>
        </w:tc>
      </w:tr>
      <w:tr w14:paraId="140BF4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2" w:hRule="atLeast"/>
        </w:trPr>
        <w:tc>
          <w:tcPr>
            <w:tcW w:w="685" w:type="dxa"/>
            <w:vAlign w:val="center"/>
          </w:tcPr>
          <w:p w14:paraId="7A843C92">
            <w:pPr>
              <w:adjustRightInd w:val="0"/>
              <w:snapToGrid w:val="0"/>
              <w:spacing w:line="440" w:lineRule="exact"/>
              <w:rPr>
                <w:rFonts w:cs="宋体" w:asciiTheme="minorEastAsia" w:hAnsiTheme="minorEastAsia" w:eastAsiaTheme="minorEastAsia"/>
                <w:szCs w:val="21"/>
              </w:rPr>
            </w:pPr>
          </w:p>
        </w:tc>
        <w:tc>
          <w:tcPr>
            <w:tcW w:w="1746" w:type="dxa"/>
            <w:vAlign w:val="center"/>
          </w:tcPr>
          <w:p w14:paraId="7E68AA0A">
            <w:pPr>
              <w:adjustRightInd w:val="0"/>
              <w:snapToGrid w:val="0"/>
              <w:spacing w:line="440" w:lineRule="exact"/>
              <w:rPr>
                <w:rFonts w:cs="宋体" w:asciiTheme="minorEastAsia" w:hAnsiTheme="minorEastAsia" w:eastAsiaTheme="minorEastAsia"/>
                <w:szCs w:val="21"/>
              </w:rPr>
            </w:pPr>
          </w:p>
        </w:tc>
        <w:tc>
          <w:tcPr>
            <w:tcW w:w="2208" w:type="dxa"/>
            <w:vAlign w:val="center"/>
          </w:tcPr>
          <w:p w14:paraId="656FB3E0">
            <w:pPr>
              <w:adjustRightInd w:val="0"/>
              <w:snapToGrid w:val="0"/>
              <w:spacing w:line="440" w:lineRule="exact"/>
              <w:rPr>
                <w:rFonts w:cs="宋体" w:asciiTheme="minorEastAsia" w:hAnsiTheme="minorEastAsia" w:eastAsiaTheme="minorEastAsia"/>
                <w:szCs w:val="21"/>
              </w:rPr>
            </w:pPr>
          </w:p>
        </w:tc>
        <w:tc>
          <w:tcPr>
            <w:tcW w:w="2435" w:type="dxa"/>
            <w:vAlign w:val="center"/>
          </w:tcPr>
          <w:p w14:paraId="2005EF61">
            <w:pPr>
              <w:adjustRightInd w:val="0"/>
              <w:snapToGrid w:val="0"/>
              <w:spacing w:line="440" w:lineRule="exact"/>
              <w:rPr>
                <w:rFonts w:cs="宋体" w:asciiTheme="minorEastAsia" w:hAnsiTheme="minorEastAsia" w:eastAsiaTheme="minorEastAsia"/>
                <w:szCs w:val="21"/>
              </w:rPr>
            </w:pPr>
          </w:p>
        </w:tc>
        <w:tc>
          <w:tcPr>
            <w:tcW w:w="1364" w:type="dxa"/>
            <w:vAlign w:val="center"/>
          </w:tcPr>
          <w:p w14:paraId="700A3A66">
            <w:pPr>
              <w:adjustRightInd w:val="0"/>
              <w:snapToGrid w:val="0"/>
              <w:spacing w:line="440" w:lineRule="exact"/>
              <w:rPr>
                <w:rFonts w:cs="宋体" w:asciiTheme="minorEastAsia" w:hAnsiTheme="minorEastAsia" w:eastAsiaTheme="minorEastAsia"/>
                <w:szCs w:val="21"/>
              </w:rPr>
            </w:pPr>
          </w:p>
        </w:tc>
      </w:tr>
    </w:tbl>
    <w:p w14:paraId="5080C964">
      <w:pPr>
        <w:adjustRightInd w:val="0"/>
        <w:snapToGrid w:val="0"/>
        <w:spacing w:after="120" w:line="440" w:lineRule="exact"/>
        <w:ind w:left="693" w:hanging="693" w:hangingChars="330"/>
        <w:rPr>
          <w:rFonts w:cs="宋体" w:asciiTheme="minorEastAsia" w:hAnsiTheme="minorEastAsia" w:eastAsiaTheme="minorEastAsia"/>
          <w:szCs w:val="21"/>
        </w:rPr>
      </w:pPr>
    </w:p>
    <w:p w14:paraId="12DDE63A">
      <w:pPr>
        <w:spacing w:line="440" w:lineRule="exact"/>
        <w:ind w:firstLine="1134" w:firstLineChars="540"/>
        <w:rPr>
          <w:rFonts w:asciiTheme="minorEastAsia" w:hAnsiTheme="minorEastAsia" w:eastAsiaTheme="minorEastAsia"/>
          <w:szCs w:val="21"/>
          <w:u w:val="single"/>
        </w:rPr>
      </w:pP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r>
        <w:rPr>
          <w:rFonts w:hint="eastAsia" w:asciiTheme="minorEastAsia" w:hAnsiTheme="minorEastAsia" w:eastAsiaTheme="minorEastAsia"/>
          <w:szCs w:val="21"/>
          <w:u w:val="single"/>
        </w:rPr>
        <w:t>　　　　　　　　</w:t>
      </w:r>
    </w:p>
    <w:p w14:paraId="2623D75C">
      <w:pPr>
        <w:spacing w:line="440" w:lineRule="exact"/>
        <w:ind w:firstLine="1134" w:firstLineChars="540"/>
        <w:rPr>
          <w:rFonts w:asciiTheme="minorEastAsia" w:hAnsiTheme="minorEastAsia" w:eastAsiaTheme="minorEastAsia"/>
          <w:szCs w:val="21"/>
        </w:rPr>
      </w:pPr>
      <w:r>
        <w:rPr>
          <w:rFonts w:hint="eastAsia" w:asciiTheme="minorEastAsia" w:hAnsiTheme="minorEastAsia" w:eastAsiaTheme="minorEastAsia"/>
          <w:szCs w:val="21"/>
        </w:rPr>
        <w:t>法定代表人/负责人（签字或盖人名章）</w:t>
      </w:r>
      <w:r>
        <w:rPr>
          <w:rFonts w:asciiTheme="minorEastAsia" w:hAnsiTheme="minorEastAsia" w:eastAsiaTheme="minorEastAsia"/>
          <w:szCs w:val="21"/>
        </w:rPr>
        <w:t>或者其委托代理人</w:t>
      </w:r>
      <w:r>
        <w:rPr>
          <w:rFonts w:hint="eastAsia" w:asciiTheme="minorEastAsia" w:hAnsiTheme="minorEastAsia" w:eastAsiaTheme="minorEastAsia"/>
          <w:szCs w:val="21"/>
        </w:rPr>
        <w:t>（签字）</w:t>
      </w:r>
      <w:r>
        <w:rPr>
          <w:rFonts w:asciiTheme="minorEastAsia" w:hAnsiTheme="minorEastAsia" w:eastAsiaTheme="minorEastAsia"/>
          <w:szCs w:val="21"/>
        </w:rPr>
        <w:t>：</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 xml:space="preserve"> </w:t>
      </w:r>
    </w:p>
    <w:p w14:paraId="144AA184">
      <w:pPr>
        <w:widowControl/>
        <w:tabs>
          <w:tab w:val="left" w:pos="3018"/>
          <w:tab w:val="left" w:pos="6260"/>
        </w:tabs>
        <w:ind w:firstLine="2692" w:firstLineChars="1282"/>
        <w:jc w:val="left"/>
        <w:rPr>
          <w:rFonts w:cs="Arial" w:asciiTheme="minorEastAsia" w:hAnsiTheme="minorEastAsia" w:eastAsiaTheme="minorEastAsia"/>
          <w:bCs/>
          <w:szCs w:val="21"/>
        </w:rPr>
      </w:pPr>
    </w:p>
    <w:p w14:paraId="1E95D4DB">
      <w:pPr>
        <w:widowControl/>
        <w:tabs>
          <w:tab w:val="left" w:pos="3018"/>
          <w:tab w:val="left" w:pos="6260"/>
        </w:tabs>
        <w:ind w:firstLine="1134" w:firstLineChars="540"/>
        <w:jc w:val="left"/>
        <w:rPr>
          <w:rFonts w:cs="Arial" w:asciiTheme="minorEastAsia" w:hAnsiTheme="minorEastAsia" w:eastAsiaTheme="minorEastAsia"/>
          <w:bCs/>
          <w:szCs w:val="21"/>
        </w:rPr>
      </w:pPr>
      <w:r>
        <w:rPr>
          <w:rFonts w:hint="eastAsia" w:cs="Arial" w:asciiTheme="minorEastAsia" w:hAnsiTheme="minorEastAsia" w:eastAsiaTheme="minorEastAsia"/>
          <w:bCs/>
          <w:szCs w:val="21"/>
        </w:rPr>
        <w:t>日期：XX年 XX月XX日</w:t>
      </w:r>
    </w:p>
    <w:p w14:paraId="21263636">
      <w:pPr>
        <w:widowControl/>
        <w:jc w:val="left"/>
        <w:rPr>
          <w:rFonts w:asciiTheme="minorEastAsia" w:hAnsiTheme="minorEastAsia" w:eastAsiaTheme="minorEastAsia"/>
        </w:rPr>
      </w:pPr>
    </w:p>
    <w:p w14:paraId="6FC37841">
      <w:pPr>
        <w:adjustRightInd w:val="0"/>
        <w:snapToGrid w:val="0"/>
        <w:spacing w:line="440" w:lineRule="exact"/>
        <w:rPr>
          <w:rFonts w:cs="宋体" w:asciiTheme="minorEastAsia" w:hAnsiTheme="minorEastAsia" w:eastAsiaTheme="minorEastAsia"/>
          <w:szCs w:val="21"/>
        </w:rPr>
      </w:pPr>
      <w:r>
        <w:rPr>
          <w:rFonts w:hint="eastAsia" w:cs="宋体" w:asciiTheme="minorEastAsia" w:hAnsiTheme="minorEastAsia" w:eastAsiaTheme="minorEastAsia"/>
          <w:b/>
          <w:szCs w:val="21"/>
        </w:rPr>
        <w:t>编制要求</w:t>
      </w:r>
      <w:r>
        <w:rPr>
          <w:rFonts w:hint="eastAsia" w:cs="宋体" w:asciiTheme="minorEastAsia" w:hAnsiTheme="minorEastAsia" w:eastAsiaTheme="minorEastAsia"/>
          <w:szCs w:val="21"/>
        </w:rPr>
        <w:t>：</w:t>
      </w:r>
    </w:p>
    <w:p w14:paraId="62F370F2">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1. 提供本文件的原件；</w:t>
      </w:r>
    </w:p>
    <w:p w14:paraId="04ABA212">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2. 如对商务规范书条款无任何偏离，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人仅需在本偏离表中填写“无偏离”即可。当本表为空时，视为</w:t>
      </w:r>
      <w:r>
        <w:rPr>
          <w:rFonts w:hint="eastAsia" w:asciiTheme="minorEastAsia" w:hAnsiTheme="minorEastAsia" w:eastAsiaTheme="minorEastAsia"/>
          <w:lang w:val="en-US" w:eastAsia="zh-CN"/>
        </w:rPr>
        <w:t>响应</w:t>
      </w:r>
      <w:r>
        <w:rPr>
          <w:rFonts w:hint="eastAsia" w:asciiTheme="minorEastAsia" w:hAnsiTheme="minorEastAsia" w:eastAsiaTheme="minorEastAsia"/>
        </w:rPr>
        <w:t>文件对商务规范书条款全部满足，无偏离；</w:t>
      </w:r>
    </w:p>
    <w:p w14:paraId="710084EB">
      <w:pPr>
        <w:pStyle w:val="48"/>
        <w:adjustRightInd w:val="0"/>
        <w:snapToGrid w:val="0"/>
        <w:spacing w:line="440" w:lineRule="exact"/>
        <w:ind w:firstLine="0" w:firstLineChars="0"/>
        <w:rPr>
          <w:rFonts w:asciiTheme="minorEastAsia" w:hAnsiTheme="minorEastAsia" w:eastAsiaTheme="minorEastAsia"/>
        </w:rPr>
      </w:pPr>
      <w:r>
        <w:rPr>
          <w:rFonts w:hint="eastAsia" w:asciiTheme="minorEastAsia" w:hAnsiTheme="minorEastAsia" w:eastAsiaTheme="minorEastAsia"/>
        </w:rPr>
        <w:t>3. 如对商务规范书条款存在偏离，</w:t>
      </w:r>
      <w:r>
        <w:rPr>
          <w:rFonts w:hint="eastAsia" w:asciiTheme="minorEastAsia" w:hAnsiTheme="minorEastAsia" w:eastAsiaTheme="minorEastAsia"/>
          <w:lang w:val="en-US" w:eastAsia="zh-CN"/>
        </w:rPr>
        <w:t>响应</w:t>
      </w:r>
      <w:r>
        <w:rPr>
          <w:rFonts w:hint="eastAsia" w:asciiTheme="minorEastAsia" w:hAnsiTheme="minorEastAsia" w:eastAsiaTheme="minorEastAsia"/>
        </w:rPr>
        <w:t>人需对商务规范书条款存在的偏离逐条做出说明。</w:t>
      </w:r>
    </w:p>
    <w:p w14:paraId="65005A3E">
      <w:pPr>
        <w:pStyle w:val="48"/>
        <w:adjustRightInd w:val="0"/>
        <w:snapToGrid w:val="0"/>
        <w:spacing w:line="440" w:lineRule="exact"/>
        <w:ind w:firstLine="0" w:firstLineChars="0"/>
        <w:rPr>
          <w:rFonts w:asciiTheme="minorEastAsia" w:hAnsiTheme="minorEastAsia" w:eastAsiaTheme="minorEastAsia"/>
        </w:rPr>
        <w:sectPr>
          <w:pgSz w:w="11906" w:h="16838"/>
          <w:pgMar w:top="1440" w:right="1797" w:bottom="1440" w:left="1797" w:header="851" w:footer="992" w:gutter="0"/>
          <w:pgNumType w:fmt="decimal"/>
          <w:cols w:space="425" w:num="1"/>
          <w:docGrid w:type="lines" w:linePitch="312" w:charSpace="0"/>
        </w:sectPr>
      </w:pPr>
      <w:r>
        <w:rPr>
          <w:rFonts w:hint="eastAsia"/>
        </w:rPr>
        <w:t>4.</w:t>
      </w:r>
      <w:r>
        <w:rPr>
          <w:rFonts w:hint="eastAsia"/>
          <w:lang w:val="en-US" w:eastAsia="zh-CN"/>
        </w:rPr>
        <w:t>响应</w:t>
      </w:r>
      <w:r>
        <w:rPr>
          <w:rFonts w:hint="eastAsia"/>
        </w:rPr>
        <w:t>人可以根据实际情况对本文件进行调整和修改，但应满足</w:t>
      </w:r>
      <w:r>
        <w:rPr>
          <w:rFonts w:hint="eastAsia"/>
          <w:lang w:val="en-US" w:eastAsia="zh-CN"/>
        </w:rPr>
        <w:t>询比</w:t>
      </w:r>
      <w:r>
        <w:rPr>
          <w:rFonts w:hint="eastAsia"/>
        </w:rPr>
        <w:t>文件对本文件的要求。</w:t>
      </w:r>
    </w:p>
    <w:p w14:paraId="3FB8A701">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152" w:name="_Toc1984"/>
      <w:bookmarkStart w:id="2153" w:name="_Toc3132"/>
      <w:bookmarkStart w:id="2154" w:name="_Toc30776"/>
      <w:bookmarkStart w:id="2155" w:name="_Toc15677"/>
      <w:bookmarkStart w:id="2156" w:name="_Toc475472691"/>
      <w:bookmarkStart w:id="2157" w:name="_Toc31303"/>
      <w:bookmarkStart w:id="2158" w:name="_Toc13896"/>
      <w:bookmarkStart w:id="2159" w:name="_Toc24073"/>
      <w:bookmarkStart w:id="2160" w:name="_Toc15978"/>
      <w:bookmarkStart w:id="2161" w:name="_Toc16206"/>
      <w:bookmarkStart w:id="2162" w:name="_Toc32603"/>
      <w:bookmarkStart w:id="2163" w:name="_Toc13358"/>
      <w:bookmarkStart w:id="2164" w:name="_Toc17143"/>
      <w:bookmarkStart w:id="2165" w:name="_Toc7794"/>
      <w:bookmarkStart w:id="2166" w:name="_Toc17776"/>
      <w:bookmarkStart w:id="2167" w:name="_Toc13550"/>
      <w:bookmarkStart w:id="2168" w:name="_Toc11432"/>
      <w:bookmarkStart w:id="2169" w:name="_Toc10847"/>
      <w:bookmarkStart w:id="2170" w:name="_Toc23486"/>
      <w:bookmarkStart w:id="2171" w:name="_Toc27334"/>
      <w:bookmarkStart w:id="2172" w:name="_Toc20013"/>
      <w:bookmarkStart w:id="2173" w:name="_Toc30938"/>
      <w:bookmarkStart w:id="2174" w:name="_Toc25397"/>
      <w:bookmarkStart w:id="2175" w:name="_Toc14449"/>
      <w:bookmarkStart w:id="2176" w:name="_Toc10638"/>
      <w:bookmarkStart w:id="2177" w:name="_Toc475472692"/>
      <w:r>
        <w:rPr>
          <w:rFonts w:hint="eastAsia" w:cs="Times New Roman" w:asciiTheme="minorEastAsia" w:hAnsiTheme="minorEastAsia" w:eastAsiaTheme="minorEastAsia"/>
          <w:b/>
          <w:bCs/>
          <w:kern w:val="2"/>
          <w:sz w:val="24"/>
          <w:szCs w:val="24"/>
          <w:lang w:val="en-US" w:eastAsia="zh-CN" w:bidi="ar-SA"/>
        </w:rPr>
        <w:t>29.</w:t>
      </w:r>
      <w:r>
        <w:rPr>
          <w:rFonts w:hint="eastAsia" w:asciiTheme="minorEastAsia" w:hAnsiTheme="minorEastAsia" w:eastAsiaTheme="minorEastAsia"/>
          <w:sz w:val="24"/>
          <w:szCs w:val="24"/>
          <w:highlight w:val="none"/>
        </w:rPr>
        <w:t>项目建议书</w:t>
      </w:r>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p>
    <w:p w14:paraId="62D11677">
      <w:pPr>
        <w:rPr>
          <w:rFonts w:hint="eastAsia" w:ascii="宋体" w:hAnsi="宋体" w:eastAsia="宋体" w:cs="宋体"/>
        </w:rPr>
      </w:pPr>
      <w:r>
        <w:rPr>
          <w:rFonts w:hint="eastAsia" w:ascii="宋体" w:hAnsi="宋体" w:cs="宋体"/>
          <w:lang w:val="en-US" w:eastAsia="zh-CN"/>
        </w:rPr>
        <w:t>1.</w:t>
      </w:r>
      <w:r>
        <w:rPr>
          <w:rFonts w:hint="eastAsia" w:ascii="宋体" w:hAnsi="宋体" w:eastAsia="宋体" w:cs="宋体"/>
          <w:lang w:val="en-US" w:eastAsia="zh-CN"/>
        </w:rPr>
        <w:t>供应商</w:t>
      </w:r>
      <w:r>
        <w:rPr>
          <w:rFonts w:hint="eastAsia" w:ascii="宋体" w:hAnsi="宋体" w:eastAsia="宋体" w:cs="宋体"/>
        </w:rPr>
        <w:t>应根据</w:t>
      </w:r>
      <w:r>
        <w:rPr>
          <w:rFonts w:hint="eastAsia" w:ascii="宋体" w:hAnsi="宋体" w:eastAsia="宋体" w:cs="宋体"/>
          <w:lang w:val="en-US" w:eastAsia="zh-CN"/>
        </w:rPr>
        <w:t>询比</w:t>
      </w:r>
      <w:r>
        <w:rPr>
          <w:rFonts w:hint="eastAsia" w:ascii="宋体" w:hAnsi="宋体" w:eastAsia="宋体" w:cs="宋体"/>
        </w:rPr>
        <w:t>文件第三章详细评分标准要求提供相关信息和资料，按要求填写以下附表1，其余内容格式自拟。</w:t>
      </w:r>
    </w:p>
    <w:p w14:paraId="53354ADC">
      <w:pPr>
        <w:rPr>
          <w:rFonts w:hint="eastAsia" w:ascii="宋体" w:hAnsi="宋体" w:cs="宋体"/>
          <w:lang w:val="en-US" w:eastAsia="zh-CN"/>
        </w:rPr>
      </w:pPr>
      <w:r>
        <w:rPr>
          <w:rFonts w:hint="eastAsia" w:ascii="宋体" w:hAnsi="宋体" w:cs="宋体"/>
          <w:lang w:val="en-US" w:eastAsia="zh-CN"/>
        </w:rPr>
        <w:t>2.★人员名单需作为合同附件，名单内人员变更需经甲方书面同意。</w:t>
      </w:r>
    </w:p>
    <w:p w14:paraId="1FD3F52A">
      <w:pPr>
        <w:rPr>
          <w:rFonts w:hint="default" w:ascii="宋体" w:hAnsi="宋体" w:cs="宋体"/>
          <w:lang w:val="en-US" w:eastAsia="zh-CN"/>
        </w:rPr>
      </w:pPr>
      <w:r>
        <w:rPr>
          <w:rFonts w:hint="eastAsia" w:ascii="宋体" w:hAnsi="宋体" w:cs="宋体"/>
          <w:lang w:val="en-US" w:eastAsia="zh-CN"/>
        </w:rPr>
        <w:t>附表1</w:t>
      </w:r>
    </w:p>
    <w:tbl>
      <w:tblPr>
        <w:tblStyle w:val="39"/>
        <w:tblW w:w="5000" w:type="pct"/>
        <w:tblInd w:w="0" w:type="dxa"/>
        <w:tblLayout w:type="fixed"/>
        <w:tblCellMar>
          <w:top w:w="0" w:type="dxa"/>
          <w:left w:w="108" w:type="dxa"/>
          <w:bottom w:w="0" w:type="dxa"/>
          <w:right w:w="108" w:type="dxa"/>
        </w:tblCellMar>
      </w:tblPr>
      <w:tblGrid>
        <w:gridCol w:w="597"/>
        <w:gridCol w:w="1058"/>
        <w:gridCol w:w="912"/>
        <w:gridCol w:w="1741"/>
        <w:gridCol w:w="801"/>
        <w:gridCol w:w="1576"/>
        <w:gridCol w:w="1244"/>
        <w:gridCol w:w="599"/>
      </w:tblGrid>
      <w:tr w14:paraId="3F9339E6">
        <w:tblPrEx>
          <w:tblCellMar>
            <w:top w:w="0" w:type="dxa"/>
            <w:left w:w="108" w:type="dxa"/>
            <w:bottom w:w="0" w:type="dxa"/>
            <w:right w:w="108" w:type="dxa"/>
          </w:tblCellMar>
        </w:tblPrEx>
        <w:trPr>
          <w:trHeight w:val="440" w:hRule="atLeast"/>
        </w:trPr>
        <w:tc>
          <w:tcPr>
            <w:tcW w:w="350" w:type="pct"/>
            <w:vMerge w:val="restart"/>
            <w:tcBorders>
              <w:top w:val="single" w:color="000000" w:sz="4" w:space="0"/>
              <w:left w:val="single" w:color="000000" w:sz="4" w:space="0"/>
              <w:right w:val="single" w:color="000000" w:sz="4" w:space="0"/>
            </w:tcBorders>
            <w:noWrap/>
            <w:vAlign w:val="center"/>
          </w:tcPr>
          <w:p w14:paraId="2C609FB5">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序号</w:t>
            </w:r>
          </w:p>
        </w:tc>
        <w:tc>
          <w:tcPr>
            <w:tcW w:w="620" w:type="pct"/>
            <w:vMerge w:val="restart"/>
            <w:tcBorders>
              <w:top w:val="single" w:color="000000" w:sz="4" w:space="0"/>
              <w:left w:val="single" w:color="000000" w:sz="4" w:space="0"/>
              <w:right w:val="single" w:color="000000" w:sz="4" w:space="0"/>
            </w:tcBorders>
            <w:noWrap/>
            <w:vAlign w:val="center"/>
          </w:tcPr>
          <w:p w14:paraId="753B4940">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类别</w:t>
            </w:r>
          </w:p>
        </w:tc>
        <w:tc>
          <w:tcPr>
            <w:tcW w:w="534" w:type="pct"/>
            <w:vMerge w:val="restart"/>
            <w:tcBorders>
              <w:top w:val="single" w:color="000000" w:sz="4" w:space="0"/>
              <w:left w:val="single" w:color="000000" w:sz="4" w:space="0"/>
              <w:right w:val="single" w:color="000000" w:sz="4" w:space="0"/>
            </w:tcBorders>
            <w:noWrap/>
            <w:vAlign w:val="center"/>
          </w:tcPr>
          <w:p w14:paraId="18F141A4">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姓名</w:t>
            </w:r>
          </w:p>
        </w:tc>
        <w:tc>
          <w:tcPr>
            <w:tcW w:w="1020" w:type="pct"/>
            <w:vMerge w:val="restart"/>
            <w:tcBorders>
              <w:top w:val="single" w:color="000000" w:sz="4" w:space="0"/>
              <w:left w:val="single" w:color="000000" w:sz="4" w:space="0"/>
              <w:right w:val="single" w:color="000000" w:sz="4" w:space="0"/>
            </w:tcBorders>
            <w:noWrap/>
            <w:vAlign w:val="center"/>
          </w:tcPr>
          <w:p w14:paraId="39F4FCE1">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lang w:val="en-US" w:eastAsia="zh-CN"/>
              </w:rPr>
              <w:t>角色/</w:t>
            </w:r>
            <w:r>
              <w:rPr>
                <w:rFonts w:hint="eastAsia" w:ascii="仿宋" w:hAnsi="仿宋" w:eastAsia="仿宋" w:cs="Times New Roman"/>
                <w:kern w:val="0"/>
                <w:sz w:val="24"/>
              </w:rPr>
              <w:t>职位</w:t>
            </w:r>
          </w:p>
        </w:tc>
        <w:tc>
          <w:tcPr>
            <w:tcW w:w="469" w:type="pct"/>
            <w:vMerge w:val="restart"/>
            <w:tcBorders>
              <w:top w:val="single" w:color="000000" w:sz="4" w:space="0"/>
              <w:left w:val="single" w:color="000000" w:sz="4" w:space="0"/>
              <w:right w:val="single" w:color="000000" w:sz="4" w:space="0"/>
            </w:tcBorders>
            <w:noWrap/>
            <w:vAlign w:val="center"/>
          </w:tcPr>
          <w:p w14:paraId="70C7C4BF">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学历</w:t>
            </w: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AE59994">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rPr>
              <w:t>证书</w:t>
            </w:r>
            <w:r>
              <w:rPr>
                <w:rFonts w:hint="eastAsia" w:ascii="仿宋" w:hAnsi="仿宋" w:eastAsia="仿宋" w:cs="Times New Roman"/>
                <w:kern w:val="0"/>
                <w:sz w:val="24"/>
                <w:lang w:val="en-US" w:eastAsia="zh-CN"/>
              </w:rPr>
              <w:t>名称</w:t>
            </w: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6A4E3F2">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证书编号</w:t>
            </w: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50CFB1F">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备注</w:t>
            </w:r>
          </w:p>
        </w:tc>
      </w:tr>
      <w:tr w14:paraId="1EA20D5F">
        <w:tblPrEx>
          <w:tblCellMar>
            <w:top w:w="0" w:type="dxa"/>
            <w:left w:w="108" w:type="dxa"/>
            <w:bottom w:w="0" w:type="dxa"/>
            <w:right w:w="108" w:type="dxa"/>
          </w:tblCellMar>
        </w:tblPrEx>
        <w:trPr>
          <w:trHeight w:val="440" w:hRule="atLeast"/>
        </w:trPr>
        <w:tc>
          <w:tcPr>
            <w:tcW w:w="350" w:type="pct"/>
            <w:vMerge w:val="continue"/>
            <w:tcBorders>
              <w:left w:val="single" w:color="000000" w:sz="4" w:space="0"/>
              <w:bottom w:val="single" w:color="000000" w:sz="4" w:space="0"/>
              <w:right w:val="single" w:color="000000" w:sz="4" w:space="0"/>
            </w:tcBorders>
            <w:noWrap/>
            <w:vAlign w:val="center"/>
          </w:tcPr>
          <w:p w14:paraId="0F83E6A9">
            <w:pPr>
              <w:tabs>
                <w:tab w:val="left" w:pos="7980"/>
              </w:tabs>
              <w:spacing w:line="360" w:lineRule="exact"/>
              <w:jc w:val="center"/>
              <w:rPr>
                <w:rFonts w:hint="eastAsia" w:ascii="仿宋" w:hAnsi="仿宋" w:eastAsia="仿宋" w:cs="Times New Roman"/>
                <w:kern w:val="0"/>
                <w:sz w:val="24"/>
              </w:rPr>
            </w:pPr>
          </w:p>
        </w:tc>
        <w:tc>
          <w:tcPr>
            <w:tcW w:w="620" w:type="pct"/>
            <w:vMerge w:val="continue"/>
            <w:tcBorders>
              <w:left w:val="single" w:color="000000" w:sz="4" w:space="0"/>
              <w:bottom w:val="single" w:color="000000" w:sz="4" w:space="0"/>
              <w:right w:val="single" w:color="000000" w:sz="4" w:space="0"/>
            </w:tcBorders>
            <w:noWrap/>
            <w:vAlign w:val="center"/>
          </w:tcPr>
          <w:p w14:paraId="392C1778">
            <w:pPr>
              <w:tabs>
                <w:tab w:val="left" w:pos="7980"/>
              </w:tabs>
              <w:spacing w:line="360" w:lineRule="exact"/>
              <w:jc w:val="center"/>
              <w:rPr>
                <w:rFonts w:hint="eastAsia" w:ascii="仿宋" w:hAnsi="仿宋" w:eastAsia="仿宋" w:cs="Times New Roman"/>
                <w:kern w:val="0"/>
                <w:sz w:val="24"/>
                <w:lang w:val="en-US" w:eastAsia="zh-CN"/>
              </w:rPr>
            </w:pPr>
          </w:p>
        </w:tc>
        <w:tc>
          <w:tcPr>
            <w:tcW w:w="534" w:type="pct"/>
            <w:vMerge w:val="continue"/>
            <w:tcBorders>
              <w:left w:val="single" w:color="000000" w:sz="4" w:space="0"/>
              <w:bottom w:val="single" w:color="000000" w:sz="4" w:space="0"/>
              <w:right w:val="single" w:color="000000" w:sz="4" w:space="0"/>
            </w:tcBorders>
            <w:noWrap/>
            <w:vAlign w:val="center"/>
          </w:tcPr>
          <w:p w14:paraId="67A3EEE3">
            <w:pPr>
              <w:tabs>
                <w:tab w:val="left" w:pos="7980"/>
              </w:tabs>
              <w:spacing w:line="360" w:lineRule="exact"/>
              <w:jc w:val="left"/>
              <w:rPr>
                <w:rFonts w:ascii="仿宋" w:hAnsi="仿宋" w:eastAsia="仿宋" w:cs="Times New Roman"/>
                <w:kern w:val="0"/>
                <w:sz w:val="24"/>
              </w:rPr>
            </w:pPr>
          </w:p>
        </w:tc>
        <w:tc>
          <w:tcPr>
            <w:tcW w:w="1020" w:type="pct"/>
            <w:vMerge w:val="continue"/>
            <w:tcBorders>
              <w:left w:val="single" w:color="000000" w:sz="4" w:space="0"/>
              <w:bottom w:val="single" w:color="000000" w:sz="4" w:space="0"/>
              <w:right w:val="single" w:color="000000" w:sz="4" w:space="0"/>
            </w:tcBorders>
            <w:noWrap/>
            <w:vAlign w:val="center"/>
          </w:tcPr>
          <w:p w14:paraId="12FCC193">
            <w:pPr>
              <w:tabs>
                <w:tab w:val="left" w:pos="7980"/>
              </w:tabs>
              <w:spacing w:line="360" w:lineRule="exact"/>
              <w:jc w:val="left"/>
              <w:rPr>
                <w:rFonts w:ascii="仿宋" w:hAnsi="仿宋" w:eastAsia="仿宋" w:cs="Times New Roman"/>
                <w:kern w:val="0"/>
                <w:sz w:val="24"/>
              </w:rPr>
            </w:pPr>
          </w:p>
        </w:tc>
        <w:tc>
          <w:tcPr>
            <w:tcW w:w="469" w:type="pct"/>
            <w:vMerge w:val="continue"/>
            <w:tcBorders>
              <w:left w:val="single" w:color="000000" w:sz="4" w:space="0"/>
              <w:bottom w:val="single" w:color="000000" w:sz="4" w:space="0"/>
              <w:right w:val="single" w:color="000000" w:sz="4" w:space="0"/>
            </w:tcBorders>
            <w:noWrap/>
            <w:vAlign w:val="center"/>
          </w:tcPr>
          <w:p w14:paraId="4995921C">
            <w:pPr>
              <w:tabs>
                <w:tab w:val="left" w:pos="7980"/>
              </w:tabs>
              <w:spacing w:line="360" w:lineRule="exact"/>
              <w:jc w:val="left"/>
              <w:rPr>
                <w:rFonts w:ascii="仿宋" w:hAnsi="仿宋" w:eastAsia="仿宋" w:cs="Times New Roman"/>
                <w:kern w:val="0"/>
                <w:sz w:val="24"/>
              </w:rPr>
            </w:pPr>
          </w:p>
        </w:tc>
        <w:tc>
          <w:tcPr>
            <w:tcW w:w="1653" w:type="pct"/>
            <w:gridSpan w:val="2"/>
            <w:tcBorders>
              <w:top w:val="single" w:color="000000" w:sz="4" w:space="0"/>
              <w:left w:val="single" w:color="000000" w:sz="4" w:space="0"/>
              <w:bottom w:val="single" w:color="000000" w:sz="4" w:space="0"/>
              <w:right w:val="single" w:color="000000" w:sz="4" w:space="0"/>
            </w:tcBorders>
            <w:noWrap/>
            <w:vAlign w:val="center"/>
          </w:tcPr>
          <w:p w14:paraId="21186020">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lang w:eastAsia="zh-CN"/>
              </w:rPr>
              <w:t>（如有）</w:t>
            </w:r>
          </w:p>
        </w:tc>
        <w:tc>
          <w:tcPr>
            <w:tcW w:w="351" w:type="pct"/>
            <w:tcBorders>
              <w:top w:val="single" w:color="000000" w:sz="4" w:space="0"/>
              <w:left w:val="single" w:color="000000" w:sz="4" w:space="0"/>
              <w:bottom w:val="single" w:color="000000" w:sz="4" w:space="0"/>
              <w:right w:val="single" w:color="000000" w:sz="4" w:space="0"/>
            </w:tcBorders>
            <w:vAlign w:val="center"/>
          </w:tcPr>
          <w:p w14:paraId="75DE07EA">
            <w:pPr>
              <w:tabs>
                <w:tab w:val="left" w:pos="7980"/>
              </w:tabs>
              <w:spacing w:line="360" w:lineRule="exact"/>
              <w:jc w:val="left"/>
              <w:rPr>
                <w:rFonts w:ascii="仿宋" w:hAnsi="仿宋" w:eastAsia="仿宋" w:cs="Times New Roman"/>
                <w:kern w:val="0"/>
                <w:sz w:val="24"/>
              </w:rPr>
            </w:pPr>
          </w:p>
        </w:tc>
      </w:tr>
      <w:tr w14:paraId="62C0D874">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4AEFE5F">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1</w:t>
            </w: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243F56DB">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团队负责人</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253B5CB8">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9583AC0">
            <w:pPr>
              <w:tabs>
                <w:tab w:val="left" w:pos="7980"/>
              </w:tabs>
              <w:spacing w:line="360" w:lineRule="exact"/>
              <w:jc w:val="left"/>
              <w:rPr>
                <w:rFonts w:hint="eastAsia" w:ascii="仿宋" w:hAnsi="仿宋" w:eastAsia="仿宋" w:cs="Times New Roman"/>
                <w:kern w:val="0"/>
                <w:sz w:val="24"/>
                <w:lang w:val="en-US" w:eastAsia="zh-CN"/>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860904E">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1FFD1712">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3AC48FA8">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C7A5FAB">
            <w:pPr>
              <w:tabs>
                <w:tab w:val="left" w:pos="7980"/>
              </w:tabs>
              <w:spacing w:line="360" w:lineRule="exact"/>
              <w:jc w:val="left"/>
              <w:rPr>
                <w:rFonts w:ascii="仿宋" w:hAnsi="仿宋" w:eastAsia="仿宋" w:cs="Times New Roman"/>
                <w:kern w:val="0"/>
                <w:sz w:val="24"/>
              </w:rPr>
            </w:pPr>
          </w:p>
        </w:tc>
      </w:tr>
      <w:tr w14:paraId="22408F5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A4BB370">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2</w:t>
            </w:r>
          </w:p>
        </w:tc>
        <w:tc>
          <w:tcPr>
            <w:tcW w:w="620" w:type="pct"/>
            <w:vMerge w:val="restart"/>
            <w:tcBorders>
              <w:top w:val="single" w:color="000000" w:sz="4" w:space="0"/>
              <w:left w:val="single" w:color="000000" w:sz="4" w:space="0"/>
              <w:bottom w:val="single" w:color="000000" w:sz="4" w:space="0"/>
              <w:right w:val="single" w:color="000000" w:sz="4" w:space="0"/>
            </w:tcBorders>
            <w:noWrap/>
            <w:vAlign w:val="center"/>
          </w:tcPr>
          <w:p w14:paraId="7CB44D83">
            <w:pPr>
              <w:tabs>
                <w:tab w:val="left" w:pos="7980"/>
              </w:tabs>
              <w:spacing w:line="360" w:lineRule="exact"/>
              <w:jc w:val="center"/>
              <w:rPr>
                <w:rFonts w:hint="eastAsia" w:ascii="仿宋" w:hAnsi="仿宋" w:eastAsia="仿宋" w:cs="Times New Roman"/>
                <w:kern w:val="0"/>
                <w:sz w:val="24"/>
                <w:lang w:eastAsia="zh-CN"/>
              </w:rPr>
            </w:pPr>
            <w:r>
              <w:rPr>
                <w:rFonts w:hint="eastAsia" w:ascii="仿宋" w:hAnsi="仿宋" w:eastAsia="仿宋" w:cs="Times New Roman"/>
                <w:kern w:val="0"/>
                <w:sz w:val="24"/>
              </w:rPr>
              <w:t>团队成员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9EE778B">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71E966A">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4018EA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2572624">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118FC21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8F6D104">
            <w:pPr>
              <w:tabs>
                <w:tab w:val="left" w:pos="7980"/>
              </w:tabs>
              <w:spacing w:line="360" w:lineRule="exact"/>
              <w:jc w:val="left"/>
              <w:rPr>
                <w:rFonts w:ascii="仿宋" w:hAnsi="仿宋" w:eastAsia="仿宋" w:cs="Times New Roman"/>
                <w:kern w:val="0"/>
                <w:sz w:val="24"/>
              </w:rPr>
            </w:pPr>
          </w:p>
        </w:tc>
      </w:tr>
      <w:tr w14:paraId="4B2304D4">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651CCCB">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3</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5FC0FD5D">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1F384086">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0242398">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43818FC0">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A5F207F">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vAlign w:val="center"/>
          </w:tcPr>
          <w:p w14:paraId="4E9D9044">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40309FE7">
            <w:pPr>
              <w:tabs>
                <w:tab w:val="left" w:pos="7980"/>
              </w:tabs>
              <w:spacing w:line="360" w:lineRule="exact"/>
              <w:jc w:val="left"/>
              <w:rPr>
                <w:rFonts w:ascii="仿宋" w:hAnsi="仿宋" w:eastAsia="仿宋" w:cs="Times New Roman"/>
                <w:kern w:val="0"/>
                <w:sz w:val="24"/>
              </w:rPr>
            </w:pPr>
          </w:p>
        </w:tc>
      </w:tr>
      <w:tr w14:paraId="1C18FAF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52A9B96">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4</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DD6FD73">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8E21C70">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D95A152">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1FB32C3">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2DBB57C">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364FBAF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6731F344">
            <w:pPr>
              <w:tabs>
                <w:tab w:val="left" w:pos="7980"/>
              </w:tabs>
              <w:spacing w:line="360" w:lineRule="exact"/>
              <w:jc w:val="left"/>
              <w:rPr>
                <w:rFonts w:ascii="仿宋" w:hAnsi="仿宋" w:eastAsia="仿宋" w:cs="Times New Roman"/>
                <w:kern w:val="0"/>
                <w:sz w:val="24"/>
              </w:rPr>
            </w:pPr>
          </w:p>
        </w:tc>
      </w:tr>
      <w:tr w14:paraId="112E877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35D2D93">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5</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4D869AA">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B0E59AE">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6C07B89">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25BA0CD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7FB643A">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E777B40">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E90811F">
            <w:pPr>
              <w:tabs>
                <w:tab w:val="left" w:pos="7980"/>
              </w:tabs>
              <w:spacing w:line="360" w:lineRule="exact"/>
              <w:jc w:val="left"/>
              <w:rPr>
                <w:rFonts w:ascii="仿宋" w:hAnsi="仿宋" w:eastAsia="仿宋" w:cs="Times New Roman"/>
                <w:kern w:val="0"/>
                <w:sz w:val="24"/>
              </w:rPr>
            </w:pPr>
          </w:p>
        </w:tc>
      </w:tr>
      <w:tr w14:paraId="3AB6E71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9F9F995">
            <w:pPr>
              <w:tabs>
                <w:tab w:val="left" w:pos="7980"/>
              </w:tabs>
              <w:spacing w:line="360" w:lineRule="exact"/>
              <w:jc w:val="center"/>
              <w:rPr>
                <w:rFonts w:hint="eastAsia" w:ascii="仿宋" w:hAnsi="仿宋" w:eastAsia="仿宋" w:cs="Times New Roman"/>
                <w:kern w:val="0"/>
                <w:sz w:val="24"/>
                <w:lang w:val="en-US" w:eastAsia="zh-CN"/>
              </w:rPr>
            </w:pPr>
            <w:r>
              <w:rPr>
                <w:rFonts w:hint="eastAsia" w:ascii="仿宋" w:hAnsi="仿宋" w:eastAsia="仿宋" w:cs="Times New Roman"/>
                <w:kern w:val="0"/>
                <w:sz w:val="24"/>
                <w:lang w:val="en-US" w:eastAsia="zh-CN"/>
              </w:rPr>
              <w:t>6</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3420F504">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572BAC0">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9C2D921">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1F2D92F">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160B8F0">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61CC49C9">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0A0C30C3">
            <w:pPr>
              <w:tabs>
                <w:tab w:val="left" w:pos="7980"/>
              </w:tabs>
              <w:spacing w:line="360" w:lineRule="exact"/>
              <w:jc w:val="left"/>
              <w:rPr>
                <w:rFonts w:ascii="仿宋" w:hAnsi="仿宋" w:eastAsia="仿宋" w:cs="Times New Roman"/>
                <w:kern w:val="0"/>
                <w:sz w:val="24"/>
              </w:rPr>
            </w:pPr>
          </w:p>
        </w:tc>
      </w:tr>
      <w:tr w14:paraId="784A8956">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871AD4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7</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5F6ACBCB">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6A6A87A">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2F29A2F6">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6504D2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5C9DE23">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AAFD5E3">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47B4C8BC">
            <w:pPr>
              <w:tabs>
                <w:tab w:val="left" w:pos="7980"/>
              </w:tabs>
              <w:spacing w:line="360" w:lineRule="exact"/>
              <w:jc w:val="left"/>
              <w:rPr>
                <w:rFonts w:ascii="仿宋" w:hAnsi="仿宋" w:eastAsia="仿宋" w:cs="Times New Roman"/>
                <w:kern w:val="0"/>
                <w:sz w:val="24"/>
              </w:rPr>
            </w:pPr>
          </w:p>
        </w:tc>
      </w:tr>
      <w:tr w14:paraId="26151B1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AC9DDC8">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8</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1FCD2AF1">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D4BDBCA">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A2E368F">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68DD9FB">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EBCC68D">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7EAA148">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1FB42FAA">
            <w:pPr>
              <w:tabs>
                <w:tab w:val="left" w:pos="7980"/>
              </w:tabs>
              <w:spacing w:line="360" w:lineRule="exact"/>
              <w:jc w:val="left"/>
              <w:rPr>
                <w:rFonts w:ascii="仿宋" w:hAnsi="仿宋" w:eastAsia="仿宋" w:cs="Times New Roman"/>
                <w:kern w:val="0"/>
                <w:sz w:val="24"/>
              </w:rPr>
            </w:pPr>
          </w:p>
        </w:tc>
      </w:tr>
      <w:tr w14:paraId="50376031">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327627E">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9</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2AB9C2C7">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041AF1A">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37A0DA4">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ED595CA">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0AF7218F">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7EF1F0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7BE7F887">
            <w:pPr>
              <w:tabs>
                <w:tab w:val="left" w:pos="7980"/>
              </w:tabs>
              <w:spacing w:line="360" w:lineRule="exact"/>
              <w:jc w:val="left"/>
              <w:rPr>
                <w:rFonts w:ascii="仿宋" w:hAnsi="仿宋" w:eastAsia="仿宋" w:cs="Times New Roman"/>
                <w:kern w:val="0"/>
                <w:sz w:val="24"/>
              </w:rPr>
            </w:pPr>
          </w:p>
        </w:tc>
      </w:tr>
      <w:tr w14:paraId="0AC34B35">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403A953">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10</w:t>
            </w:r>
          </w:p>
        </w:tc>
        <w:tc>
          <w:tcPr>
            <w:tcW w:w="620" w:type="pct"/>
            <w:vMerge w:val="continue"/>
            <w:tcBorders>
              <w:top w:val="single" w:color="000000" w:sz="4" w:space="0"/>
              <w:left w:val="single" w:color="000000" w:sz="4" w:space="0"/>
              <w:bottom w:val="single" w:color="000000" w:sz="4" w:space="0"/>
              <w:right w:val="single" w:color="000000" w:sz="4" w:space="0"/>
            </w:tcBorders>
            <w:noWrap/>
            <w:vAlign w:val="center"/>
          </w:tcPr>
          <w:p w14:paraId="02E87C36">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56A9ED69">
            <w:pPr>
              <w:tabs>
                <w:tab w:val="left" w:pos="7980"/>
              </w:tabs>
              <w:spacing w:line="360" w:lineRule="exact"/>
              <w:jc w:val="left"/>
              <w:rPr>
                <w:rFonts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61FB7304">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8B5DC4C">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AAE44E9">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8A1A26F">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vAlign w:val="center"/>
          </w:tcPr>
          <w:p w14:paraId="2CC34048">
            <w:pPr>
              <w:tabs>
                <w:tab w:val="left" w:pos="7980"/>
              </w:tabs>
              <w:spacing w:line="360" w:lineRule="exact"/>
              <w:jc w:val="left"/>
              <w:rPr>
                <w:rFonts w:ascii="仿宋" w:hAnsi="仿宋" w:eastAsia="仿宋" w:cs="Times New Roman"/>
                <w:kern w:val="0"/>
                <w:sz w:val="24"/>
              </w:rPr>
            </w:pPr>
          </w:p>
        </w:tc>
      </w:tr>
      <w:tr w14:paraId="227127B2">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2975CAD8">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11</w:t>
            </w:r>
          </w:p>
        </w:tc>
        <w:tc>
          <w:tcPr>
            <w:tcW w:w="620" w:type="pct"/>
            <w:vMerge w:val="restart"/>
            <w:tcBorders>
              <w:top w:val="single" w:color="000000" w:sz="4" w:space="0"/>
              <w:left w:val="single" w:color="000000" w:sz="4" w:space="0"/>
              <w:right w:val="single" w:color="000000" w:sz="4" w:space="0"/>
            </w:tcBorders>
            <w:noWrap/>
            <w:vAlign w:val="center"/>
          </w:tcPr>
          <w:p w14:paraId="1DDCC838">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服务支撑人员</w:t>
            </w: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B0A8165">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6A6D5CB">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项目联系人</w:t>
            </w:r>
            <w:r>
              <w:rPr>
                <w:rFonts w:hint="eastAsia" w:ascii="仿宋" w:hAnsi="仿宋" w:eastAsia="仿宋" w:cs="Times New Roman"/>
                <w:kern w:val="0"/>
                <w:sz w:val="24"/>
                <w:lang w:val="en-US" w:eastAsia="zh-CN"/>
              </w:rPr>
              <w:t>/项目</w:t>
            </w:r>
            <w:r>
              <w:rPr>
                <w:rFonts w:hint="eastAsia" w:ascii="仿宋" w:hAnsi="仿宋" w:eastAsia="仿宋" w:cs="Calibri"/>
                <w:kern w:val="1"/>
                <w:sz w:val="24"/>
                <w:lang w:eastAsia="ar-SA"/>
              </w:rPr>
              <w:t>现场代表</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E69E379">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1368135">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8D36ED8">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7451B95D">
            <w:pPr>
              <w:tabs>
                <w:tab w:val="left" w:pos="7980"/>
              </w:tabs>
              <w:spacing w:line="360" w:lineRule="exact"/>
              <w:jc w:val="left"/>
              <w:rPr>
                <w:rFonts w:ascii="仿宋" w:hAnsi="仿宋" w:eastAsia="仿宋" w:cs="Times New Roman"/>
                <w:kern w:val="0"/>
                <w:sz w:val="24"/>
              </w:rPr>
            </w:pPr>
          </w:p>
        </w:tc>
      </w:tr>
      <w:tr w14:paraId="533077EC">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4BE309C4">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12</w:t>
            </w:r>
          </w:p>
        </w:tc>
        <w:tc>
          <w:tcPr>
            <w:tcW w:w="620" w:type="pct"/>
            <w:vMerge w:val="continue"/>
            <w:tcBorders>
              <w:left w:val="single" w:color="000000" w:sz="4" w:space="0"/>
              <w:right w:val="single" w:color="000000" w:sz="4" w:space="0"/>
            </w:tcBorders>
            <w:noWrap/>
            <w:vAlign w:val="center"/>
          </w:tcPr>
          <w:p w14:paraId="6D4ADC03">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A6A4F9C">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02F24BD">
            <w:pPr>
              <w:tabs>
                <w:tab w:val="left" w:pos="7980"/>
              </w:tabs>
              <w:spacing w:line="360" w:lineRule="exact"/>
              <w:jc w:val="left"/>
              <w:rPr>
                <w:rFonts w:ascii="仿宋" w:hAnsi="仿宋" w:eastAsia="仿宋" w:cs="Times New Roman"/>
                <w:kern w:val="0"/>
                <w:sz w:val="24"/>
                <w:szCs w:val="24"/>
                <w:lang w:val="en-US" w:eastAsia="zh-CN" w:bidi="ar-SA"/>
              </w:rPr>
            </w:pPr>
            <w:r>
              <w:rPr>
                <w:rFonts w:hint="eastAsia" w:ascii="仿宋" w:hAnsi="仿宋" w:eastAsia="仿宋" w:cs="Times New Roman"/>
                <w:kern w:val="0"/>
                <w:sz w:val="24"/>
              </w:rPr>
              <w:t>专职安全生产管理人员</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00006676">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6683A1C8">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FD6F923">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FEDA2A4">
            <w:pPr>
              <w:tabs>
                <w:tab w:val="left" w:pos="7980"/>
              </w:tabs>
              <w:spacing w:line="360" w:lineRule="exact"/>
              <w:jc w:val="left"/>
              <w:rPr>
                <w:rFonts w:ascii="仿宋" w:hAnsi="仿宋" w:eastAsia="仿宋" w:cs="Times New Roman"/>
                <w:kern w:val="0"/>
                <w:sz w:val="24"/>
              </w:rPr>
            </w:pPr>
          </w:p>
        </w:tc>
      </w:tr>
      <w:tr w14:paraId="13B57CE3">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EACBD6F">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13</w:t>
            </w:r>
          </w:p>
        </w:tc>
        <w:tc>
          <w:tcPr>
            <w:tcW w:w="620" w:type="pct"/>
            <w:vMerge w:val="continue"/>
            <w:tcBorders>
              <w:left w:val="single" w:color="000000" w:sz="4" w:space="0"/>
              <w:right w:val="single" w:color="000000" w:sz="4" w:space="0"/>
            </w:tcBorders>
            <w:noWrap/>
            <w:vAlign w:val="center"/>
          </w:tcPr>
          <w:p w14:paraId="41B967AB">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C1DF7C9">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765E18EA">
            <w:pPr>
              <w:tabs>
                <w:tab w:val="left" w:pos="7980"/>
              </w:tabs>
              <w:spacing w:line="360" w:lineRule="exact"/>
              <w:jc w:val="left"/>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rPr>
              <w:t>信息安全责任人</w:t>
            </w: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CB9876D">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69B34EC">
            <w:pPr>
              <w:tabs>
                <w:tab w:val="left" w:pos="7980"/>
              </w:tabs>
              <w:spacing w:line="360" w:lineRule="exact"/>
              <w:jc w:val="left"/>
              <w:rPr>
                <w:rFonts w:ascii="仿宋" w:hAnsi="仿宋" w:eastAsia="仿宋" w:cs="Times New Roman"/>
                <w:kern w:val="0"/>
                <w:sz w:val="24"/>
                <w:szCs w:val="24"/>
                <w:lang w:val="en-US" w:eastAsia="zh-CN" w:bidi="ar-SA"/>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2603D2A">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6356C8CE">
            <w:pPr>
              <w:tabs>
                <w:tab w:val="left" w:pos="7980"/>
              </w:tabs>
              <w:spacing w:line="360" w:lineRule="exact"/>
              <w:jc w:val="left"/>
              <w:rPr>
                <w:rFonts w:ascii="仿宋" w:hAnsi="仿宋" w:eastAsia="仿宋" w:cs="Times New Roman"/>
                <w:kern w:val="0"/>
                <w:sz w:val="24"/>
              </w:rPr>
            </w:pPr>
          </w:p>
        </w:tc>
      </w:tr>
      <w:tr w14:paraId="17E245C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BC67011">
            <w:pPr>
              <w:tabs>
                <w:tab w:val="left" w:pos="7980"/>
              </w:tabs>
              <w:spacing w:line="360" w:lineRule="exact"/>
              <w:jc w:val="center"/>
              <w:rPr>
                <w:rFonts w:hint="default" w:ascii="仿宋" w:hAnsi="仿宋" w:eastAsia="仿宋" w:cs="Times New Roman"/>
                <w:kern w:val="0"/>
                <w:sz w:val="24"/>
                <w:lang w:val="en-US" w:eastAsia="zh-CN"/>
              </w:rPr>
            </w:pPr>
            <w:r>
              <w:rPr>
                <w:rFonts w:hint="eastAsia" w:ascii="仿宋" w:hAnsi="仿宋" w:eastAsia="仿宋" w:cs="Times New Roman"/>
                <w:kern w:val="0"/>
                <w:sz w:val="24"/>
                <w:lang w:val="en-US" w:eastAsia="zh-CN"/>
              </w:rPr>
              <w:t>14</w:t>
            </w:r>
          </w:p>
        </w:tc>
        <w:tc>
          <w:tcPr>
            <w:tcW w:w="620" w:type="pct"/>
            <w:vMerge w:val="continue"/>
            <w:tcBorders>
              <w:left w:val="single" w:color="000000" w:sz="4" w:space="0"/>
              <w:right w:val="single" w:color="000000" w:sz="4" w:space="0"/>
            </w:tcBorders>
            <w:noWrap/>
            <w:vAlign w:val="center"/>
          </w:tcPr>
          <w:p w14:paraId="3AD8658D">
            <w:pPr>
              <w:tabs>
                <w:tab w:val="left" w:pos="7980"/>
              </w:tabs>
              <w:spacing w:line="360" w:lineRule="exact"/>
              <w:jc w:val="center"/>
              <w:rPr>
                <w:rFonts w:hint="default" w:ascii="仿宋" w:hAnsi="仿宋" w:eastAsia="仿宋" w:cs="Times New Roman"/>
                <w:kern w:val="0"/>
                <w:sz w:val="24"/>
                <w:lang w:val="en-US" w:eastAsia="zh-CN"/>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6C0564B4">
            <w:pPr>
              <w:tabs>
                <w:tab w:val="left" w:pos="7980"/>
              </w:tabs>
              <w:spacing w:line="360" w:lineRule="exact"/>
              <w:jc w:val="left"/>
              <w:rPr>
                <w:rFonts w:hint="eastAsia" w:ascii="仿宋" w:hAnsi="仿宋" w:eastAsia="仿宋" w:cs="Times New Roman"/>
                <w:kern w:val="0"/>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93F0AF4">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5014AB2">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753641CE">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76B547C8">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358E17AB">
            <w:pPr>
              <w:tabs>
                <w:tab w:val="left" w:pos="7980"/>
              </w:tabs>
              <w:spacing w:line="360" w:lineRule="exact"/>
              <w:jc w:val="left"/>
              <w:rPr>
                <w:rFonts w:ascii="仿宋" w:hAnsi="仿宋" w:eastAsia="仿宋" w:cs="Times New Roman"/>
                <w:kern w:val="0"/>
                <w:sz w:val="24"/>
              </w:rPr>
            </w:pPr>
          </w:p>
        </w:tc>
      </w:tr>
      <w:tr w14:paraId="02CCE80A">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563D8CC7">
            <w:pPr>
              <w:tabs>
                <w:tab w:val="left" w:pos="7980"/>
              </w:tabs>
              <w:spacing w:line="360" w:lineRule="exact"/>
              <w:jc w:val="center"/>
              <w:rPr>
                <w:rFonts w:ascii="仿宋" w:hAnsi="仿宋" w:eastAsia="仿宋" w:cs="Times New Roman"/>
                <w:kern w:val="0"/>
                <w:sz w:val="24"/>
              </w:rPr>
            </w:pPr>
            <w:r>
              <w:rPr>
                <w:rFonts w:hint="eastAsia" w:ascii="仿宋" w:hAnsi="仿宋" w:eastAsia="仿宋" w:cs="Times New Roman"/>
                <w:kern w:val="0"/>
                <w:sz w:val="24"/>
              </w:rPr>
              <w:t>…</w:t>
            </w:r>
          </w:p>
        </w:tc>
        <w:tc>
          <w:tcPr>
            <w:tcW w:w="620" w:type="pct"/>
            <w:vMerge w:val="continue"/>
            <w:tcBorders>
              <w:left w:val="single" w:color="000000" w:sz="4" w:space="0"/>
              <w:bottom w:val="single" w:color="000000" w:sz="4" w:space="0"/>
              <w:right w:val="single" w:color="000000" w:sz="4" w:space="0"/>
            </w:tcBorders>
            <w:noWrap/>
            <w:vAlign w:val="center"/>
          </w:tcPr>
          <w:p w14:paraId="74F6710B">
            <w:pPr>
              <w:tabs>
                <w:tab w:val="left" w:pos="7980"/>
              </w:tabs>
              <w:spacing w:line="360" w:lineRule="exact"/>
              <w:jc w:val="center"/>
              <w:rPr>
                <w:rFonts w:ascii="仿宋" w:hAnsi="仿宋" w:eastAsia="仿宋" w:cs="Times New Roman"/>
                <w:kern w:val="0"/>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49E0BE3">
            <w:pPr>
              <w:tabs>
                <w:tab w:val="left" w:pos="7980"/>
              </w:tabs>
              <w:spacing w:line="360" w:lineRule="exact"/>
              <w:jc w:val="left"/>
              <w:rPr>
                <w:rFonts w:ascii="仿宋" w:hAnsi="仿宋" w:eastAsia="仿宋" w:cs="Times New Roman"/>
                <w:kern w:val="0"/>
                <w:sz w:val="24"/>
              </w:rPr>
            </w:pPr>
            <w:r>
              <w:rPr>
                <w:rFonts w:hint="eastAsia" w:ascii="仿宋" w:hAnsi="仿宋" w:eastAsia="仿宋" w:cs="Times New Roman"/>
                <w:kern w:val="0"/>
                <w:sz w:val="24"/>
              </w:rPr>
              <w:t>……</w:t>
            </w: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563B7061">
            <w:pPr>
              <w:tabs>
                <w:tab w:val="left" w:pos="7980"/>
              </w:tabs>
              <w:spacing w:line="360" w:lineRule="exact"/>
              <w:jc w:val="left"/>
              <w:rPr>
                <w:rFonts w:ascii="仿宋" w:hAnsi="仿宋" w:eastAsia="仿宋" w:cs="Times New Roman"/>
                <w:kern w:val="0"/>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1D91FCC8">
            <w:pPr>
              <w:tabs>
                <w:tab w:val="left" w:pos="7980"/>
              </w:tabs>
              <w:spacing w:line="360" w:lineRule="exact"/>
              <w:jc w:val="left"/>
              <w:rPr>
                <w:rFonts w:ascii="仿宋" w:hAnsi="仿宋" w:eastAsia="仿宋" w:cs="Times New Roman"/>
                <w:kern w:val="0"/>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56D821E1">
            <w:pPr>
              <w:tabs>
                <w:tab w:val="left" w:pos="7980"/>
              </w:tabs>
              <w:spacing w:line="360" w:lineRule="exact"/>
              <w:jc w:val="left"/>
              <w:rPr>
                <w:rFonts w:ascii="仿宋" w:hAnsi="仿宋" w:eastAsia="仿宋" w:cs="Times New Roman"/>
                <w:kern w:val="0"/>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4072162">
            <w:pPr>
              <w:tabs>
                <w:tab w:val="left" w:pos="7980"/>
              </w:tabs>
              <w:spacing w:line="360" w:lineRule="exact"/>
              <w:jc w:val="left"/>
              <w:rPr>
                <w:rFonts w:ascii="仿宋" w:hAnsi="仿宋" w:eastAsia="仿宋" w:cs="Times New Roman"/>
                <w:kern w:val="0"/>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C8ACEF5">
            <w:pPr>
              <w:tabs>
                <w:tab w:val="left" w:pos="7980"/>
              </w:tabs>
              <w:spacing w:line="360" w:lineRule="exact"/>
              <w:jc w:val="left"/>
              <w:rPr>
                <w:rFonts w:ascii="仿宋" w:hAnsi="仿宋" w:eastAsia="仿宋" w:cs="Times New Roman"/>
                <w:kern w:val="0"/>
                <w:sz w:val="24"/>
              </w:rPr>
            </w:pPr>
          </w:p>
        </w:tc>
      </w:tr>
      <w:tr w14:paraId="29101A4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0558106D">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160CF731">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0ACFE235">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5E81F30">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5C85A0DB">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4A3D4457">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5CB06801">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067CF049">
            <w:pPr>
              <w:rPr>
                <w:rFonts w:ascii="宋体" w:hAnsi="宋体" w:eastAsia="宋体" w:cs="宋体"/>
                <w:sz w:val="24"/>
              </w:rPr>
            </w:pPr>
          </w:p>
        </w:tc>
      </w:tr>
      <w:tr w14:paraId="52613AF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31E5DDA5">
            <w:pPr>
              <w:jc w:val="cente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625E844C">
            <w:pPr>
              <w:jc w:val="cente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70278073">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431320BF">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6361BAFB">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2C5F3991">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47BDC1B7">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5C21151F">
            <w:pPr>
              <w:rPr>
                <w:rFonts w:ascii="宋体" w:hAnsi="宋体" w:eastAsia="宋体" w:cs="宋体"/>
                <w:sz w:val="24"/>
              </w:rPr>
            </w:pPr>
          </w:p>
        </w:tc>
      </w:tr>
      <w:tr w14:paraId="1CF28F2F">
        <w:tblPrEx>
          <w:tblCellMar>
            <w:top w:w="0" w:type="dxa"/>
            <w:left w:w="108" w:type="dxa"/>
            <w:bottom w:w="0" w:type="dxa"/>
            <w:right w:w="108" w:type="dxa"/>
          </w:tblCellMar>
        </w:tblPrEx>
        <w:trPr>
          <w:trHeight w:val="440" w:hRule="atLeast"/>
        </w:trPr>
        <w:tc>
          <w:tcPr>
            <w:tcW w:w="350" w:type="pct"/>
            <w:tcBorders>
              <w:top w:val="single" w:color="000000" w:sz="4" w:space="0"/>
              <w:left w:val="single" w:color="000000" w:sz="4" w:space="0"/>
              <w:bottom w:val="single" w:color="000000" w:sz="4" w:space="0"/>
              <w:right w:val="single" w:color="000000" w:sz="4" w:space="0"/>
            </w:tcBorders>
            <w:noWrap/>
            <w:vAlign w:val="center"/>
          </w:tcPr>
          <w:p w14:paraId="778A5AEE">
            <w:pPr>
              <w:rPr>
                <w:rFonts w:ascii="宋体" w:hAnsi="宋体" w:eastAsia="宋体" w:cs="宋体"/>
                <w:sz w:val="24"/>
              </w:rPr>
            </w:pPr>
          </w:p>
        </w:tc>
        <w:tc>
          <w:tcPr>
            <w:tcW w:w="620" w:type="pct"/>
            <w:tcBorders>
              <w:top w:val="single" w:color="000000" w:sz="4" w:space="0"/>
              <w:left w:val="single" w:color="000000" w:sz="4" w:space="0"/>
              <w:bottom w:val="single" w:color="000000" w:sz="4" w:space="0"/>
              <w:right w:val="single" w:color="000000" w:sz="4" w:space="0"/>
            </w:tcBorders>
            <w:noWrap/>
            <w:vAlign w:val="center"/>
          </w:tcPr>
          <w:p w14:paraId="7963C3C0">
            <w:pPr>
              <w:rPr>
                <w:rFonts w:ascii="宋体" w:hAnsi="宋体" w:eastAsia="宋体" w:cs="宋体"/>
                <w:sz w:val="24"/>
              </w:rPr>
            </w:pPr>
          </w:p>
        </w:tc>
        <w:tc>
          <w:tcPr>
            <w:tcW w:w="534" w:type="pct"/>
            <w:tcBorders>
              <w:top w:val="single" w:color="000000" w:sz="4" w:space="0"/>
              <w:left w:val="single" w:color="000000" w:sz="4" w:space="0"/>
              <w:bottom w:val="single" w:color="000000" w:sz="4" w:space="0"/>
              <w:right w:val="single" w:color="000000" w:sz="4" w:space="0"/>
            </w:tcBorders>
            <w:noWrap/>
            <w:vAlign w:val="center"/>
          </w:tcPr>
          <w:p w14:paraId="3C53C0B3">
            <w:pPr>
              <w:rPr>
                <w:rFonts w:ascii="宋体" w:hAnsi="宋体" w:eastAsia="宋体" w:cs="宋体"/>
                <w:sz w:val="24"/>
              </w:rPr>
            </w:pPr>
          </w:p>
        </w:tc>
        <w:tc>
          <w:tcPr>
            <w:tcW w:w="1020" w:type="pct"/>
            <w:tcBorders>
              <w:top w:val="single" w:color="000000" w:sz="4" w:space="0"/>
              <w:left w:val="single" w:color="000000" w:sz="4" w:space="0"/>
              <w:bottom w:val="single" w:color="000000" w:sz="4" w:space="0"/>
              <w:right w:val="single" w:color="000000" w:sz="4" w:space="0"/>
            </w:tcBorders>
            <w:noWrap/>
            <w:vAlign w:val="center"/>
          </w:tcPr>
          <w:p w14:paraId="0D23B5E8">
            <w:pPr>
              <w:rPr>
                <w:rFonts w:ascii="宋体" w:hAnsi="宋体" w:eastAsia="宋体" w:cs="宋体"/>
                <w:sz w:val="24"/>
              </w:rPr>
            </w:pPr>
          </w:p>
        </w:tc>
        <w:tc>
          <w:tcPr>
            <w:tcW w:w="469" w:type="pct"/>
            <w:tcBorders>
              <w:top w:val="single" w:color="000000" w:sz="4" w:space="0"/>
              <w:left w:val="single" w:color="000000" w:sz="4" w:space="0"/>
              <w:bottom w:val="single" w:color="000000" w:sz="4" w:space="0"/>
              <w:right w:val="single" w:color="000000" w:sz="4" w:space="0"/>
            </w:tcBorders>
            <w:noWrap/>
            <w:vAlign w:val="center"/>
          </w:tcPr>
          <w:p w14:paraId="3EF226D3">
            <w:pPr>
              <w:rPr>
                <w:rFonts w:ascii="宋体" w:hAnsi="宋体" w:eastAsia="宋体" w:cs="宋体"/>
                <w:sz w:val="24"/>
              </w:rPr>
            </w:pPr>
          </w:p>
        </w:tc>
        <w:tc>
          <w:tcPr>
            <w:tcW w:w="924" w:type="pct"/>
            <w:tcBorders>
              <w:top w:val="single" w:color="000000" w:sz="4" w:space="0"/>
              <w:left w:val="single" w:color="000000" w:sz="4" w:space="0"/>
              <w:bottom w:val="single" w:color="000000" w:sz="4" w:space="0"/>
              <w:right w:val="single" w:color="000000" w:sz="4" w:space="0"/>
            </w:tcBorders>
            <w:noWrap/>
            <w:vAlign w:val="center"/>
          </w:tcPr>
          <w:p w14:paraId="345A647A">
            <w:pPr>
              <w:rPr>
                <w:rFonts w:ascii="宋体" w:hAnsi="宋体" w:eastAsia="宋体" w:cs="宋体"/>
                <w:sz w:val="24"/>
              </w:rPr>
            </w:pPr>
          </w:p>
        </w:tc>
        <w:tc>
          <w:tcPr>
            <w:tcW w:w="729" w:type="pct"/>
            <w:tcBorders>
              <w:top w:val="single" w:color="000000" w:sz="4" w:space="0"/>
              <w:left w:val="single" w:color="000000" w:sz="4" w:space="0"/>
              <w:bottom w:val="single" w:color="000000" w:sz="4" w:space="0"/>
              <w:right w:val="single" w:color="000000" w:sz="4" w:space="0"/>
            </w:tcBorders>
            <w:noWrap/>
            <w:vAlign w:val="center"/>
          </w:tcPr>
          <w:p w14:paraId="0D984185">
            <w:pPr>
              <w:rPr>
                <w:rFonts w:ascii="宋体" w:hAnsi="宋体" w:eastAsia="宋体" w:cs="宋体"/>
                <w:sz w:val="24"/>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14:paraId="47954F3C">
            <w:pPr>
              <w:rPr>
                <w:rFonts w:ascii="宋体" w:hAnsi="宋体" w:eastAsia="宋体" w:cs="宋体"/>
                <w:sz w:val="24"/>
              </w:rPr>
            </w:pPr>
          </w:p>
        </w:tc>
      </w:tr>
    </w:tbl>
    <w:p w14:paraId="2F0817E6">
      <w:pPr>
        <w:rPr>
          <w:rFonts w:hint="eastAsia" w:ascii="仿宋" w:hAnsi="仿宋" w:eastAsia="仿宋" w:cs="仿宋"/>
          <w:sz w:val="24"/>
          <w:szCs w:val="24"/>
          <w:lang w:val="en-US" w:eastAsia="zh-CN"/>
        </w:rPr>
      </w:pPr>
    </w:p>
    <w:p w14:paraId="0CE777CC">
      <w:pPr>
        <w:topLinePunct/>
        <w:spacing w:line="440" w:lineRule="exact"/>
        <w:jc w:val="left"/>
        <w:rPr>
          <w:rFonts w:cs="Times New Roman" w:asciiTheme="minorEastAsia" w:hAnsiTheme="minorEastAsia" w:eastAsiaTheme="minorEastAsia"/>
          <w:b/>
          <w:highlight w:val="none"/>
        </w:rPr>
      </w:pPr>
      <w:r>
        <w:rPr>
          <w:rFonts w:hint="eastAsia" w:cs="Times New Roman" w:asciiTheme="minorEastAsia" w:hAnsiTheme="minorEastAsia" w:eastAsiaTheme="minorEastAsia"/>
          <w:b/>
          <w:highlight w:val="none"/>
        </w:rPr>
        <w:t>编制要求：</w:t>
      </w:r>
      <w:r>
        <w:rPr>
          <w:rFonts w:hint="eastAsia" w:cs="Times New Roman" w:asciiTheme="minorEastAsia" w:hAnsiTheme="minorEastAsia" w:eastAsiaTheme="minorEastAsia"/>
          <w:highlight w:val="none"/>
        </w:rPr>
        <w:t>要求提供原件的，需提供文件原件；</w:t>
      </w:r>
      <w:r>
        <w:rPr>
          <w:rFonts w:hint="eastAsia" w:cs="Times New Roman" w:asciiTheme="minorEastAsia" w:hAnsiTheme="minorEastAsia" w:eastAsiaTheme="minorEastAsia"/>
          <w:highlight w:val="none"/>
          <w:lang w:val="en-US" w:eastAsia="zh-CN"/>
        </w:rPr>
        <w:t>其他</w:t>
      </w:r>
      <w:r>
        <w:rPr>
          <w:rFonts w:hint="eastAsia" w:cs="Times New Roman" w:asciiTheme="minorEastAsia" w:hAnsiTheme="minorEastAsia" w:eastAsiaTheme="minorEastAsia"/>
          <w:highlight w:val="none"/>
        </w:rPr>
        <w:t>证明文件可为</w:t>
      </w:r>
      <w:r>
        <w:rPr>
          <w:rFonts w:hint="eastAsia" w:cs="Times New Roman" w:asciiTheme="minorEastAsia" w:hAnsiTheme="minorEastAsia" w:eastAsiaTheme="minorEastAsia"/>
          <w:highlight w:val="none"/>
          <w:lang w:val="en-US" w:eastAsia="zh-CN"/>
        </w:rPr>
        <w:t>扫描件</w:t>
      </w:r>
      <w:r>
        <w:rPr>
          <w:rFonts w:hint="eastAsia" w:cs="Times New Roman" w:asciiTheme="minorEastAsia" w:hAnsiTheme="minorEastAsia" w:eastAsiaTheme="minorEastAsia"/>
          <w:highlight w:val="none"/>
        </w:rPr>
        <w:t>。</w:t>
      </w:r>
    </w:p>
    <w:p w14:paraId="3E5CA51E">
      <w:pPr>
        <w:topLinePunct/>
        <w:spacing w:line="440" w:lineRule="exact"/>
        <w:jc w:val="left"/>
        <w:rPr>
          <w:rFonts w:asciiTheme="minorEastAsia" w:hAnsiTheme="minorEastAsia" w:eastAsiaTheme="minorEastAsia"/>
          <w:highlight w:val="none"/>
        </w:rPr>
      </w:pPr>
    </w:p>
    <w:p w14:paraId="08B50E14">
      <w:pPr>
        <w:numPr>
          <w:ilvl w:val="0"/>
          <w:numId w:val="20"/>
        </w:numPr>
        <w:topLinePunct/>
        <w:spacing w:line="440" w:lineRule="exact"/>
        <w:ind w:left="849" w:leftChars="202" w:hanging="425"/>
        <w:jc w:val="left"/>
        <w:rPr>
          <w:rFonts w:asciiTheme="minorEastAsia" w:hAnsiTheme="minorEastAsia" w:eastAsiaTheme="minorEastAsia"/>
          <w:highlight w:val="none"/>
        </w:rPr>
        <w:sectPr>
          <w:pgSz w:w="11906" w:h="16838"/>
          <w:pgMar w:top="1440" w:right="1797" w:bottom="1440" w:left="1797" w:header="851" w:footer="992" w:gutter="0"/>
          <w:pgNumType w:fmt="decimal"/>
          <w:cols w:space="425" w:num="1"/>
          <w:docGrid w:type="lines" w:linePitch="312" w:charSpace="0"/>
        </w:sectPr>
      </w:pPr>
    </w:p>
    <w:p w14:paraId="2F7D9D33">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178" w:name="_Toc23438"/>
      <w:bookmarkStart w:id="2179" w:name="_Toc6915"/>
      <w:r>
        <w:rPr>
          <w:rFonts w:hint="eastAsia" w:cs="Times New Roman" w:asciiTheme="minorEastAsia" w:hAnsiTheme="minorEastAsia" w:eastAsiaTheme="minorEastAsia"/>
          <w:b/>
          <w:bCs/>
          <w:kern w:val="2"/>
          <w:sz w:val="24"/>
          <w:szCs w:val="24"/>
          <w:lang w:val="en-US" w:eastAsia="zh-CN" w:bidi="ar-SA"/>
        </w:rPr>
        <w:t>30.</w:t>
      </w:r>
      <w:r>
        <w:rPr>
          <w:rFonts w:hint="eastAsia" w:asciiTheme="minorEastAsia" w:hAnsiTheme="minorEastAsia" w:eastAsiaTheme="minorEastAsia"/>
          <w:sz w:val="24"/>
          <w:szCs w:val="24"/>
          <w:highlight w:val="none"/>
        </w:rPr>
        <w:t>要求</w:t>
      </w:r>
      <w:r>
        <w:rPr>
          <w:rFonts w:hint="eastAsia" w:asciiTheme="minorEastAsia" w:hAnsiTheme="minorEastAsia" w:eastAsiaTheme="minorEastAsia"/>
          <w:sz w:val="24"/>
          <w:szCs w:val="24"/>
          <w:highlight w:val="none"/>
          <w:lang w:eastAsia="zh-CN"/>
        </w:rPr>
        <w:t>供应商</w:t>
      </w:r>
      <w:r>
        <w:rPr>
          <w:rFonts w:hint="eastAsia" w:asciiTheme="minorEastAsia" w:hAnsiTheme="minorEastAsia" w:eastAsiaTheme="minorEastAsia"/>
          <w:sz w:val="24"/>
          <w:szCs w:val="24"/>
          <w:highlight w:val="none"/>
        </w:rPr>
        <w:t>提供的其他文件</w:t>
      </w:r>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p>
    <w:p w14:paraId="43AA710F">
      <w:pPr>
        <w:rPr>
          <w:rFonts w:asciiTheme="minorEastAsia" w:hAnsiTheme="minorEastAsia" w:eastAsiaTheme="minorEastAsia"/>
          <w:highlight w:val="none"/>
        </w:rPr>
      </w:pPr>
    </w:p>
    <w:p w14:paraId="438F5CA6">
      <w:pPr>
        <w:rPr>
          <w:rFonts w:asciiTheme="minorEastAsia" w:hAnsiTheme="minorEastAsia" w:eastAsiaTheme="minorEastAsia"/>
          <w:highlight w:val="none"/>
        </w:rPr>
      </w:pPr>
    </w:p>
    <w:p w14:paraId="6B1D0630">
      <w:pPr>
        <w:rPr>
          <w:rFonts w:asciiTheme="minorEastAsia" w:hAnsiTheme="minorEastAsia" w:eastAsiaTheme="minorEastAsia"/>
          <w:highlight w:val="none"/>
        </w:rPr>
      </w:pPr>
    </w:p>
    <w:p w14:paraId="5671A029">
      <w:pP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rPr>
        <w:t>编制要求：</w:t>
      </w:r>
    </w:p>
    <w:p w14:paraId="025A52B3">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应按照技术规范书规定的先后顺序提供。</w:t>
      </w:r>
    </w:p>
    <w:p w14:paraId="3B2EB6B1">
      <w:pPr>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w:t>
      </w:r>
      <w:r>
        <w:rPr>
          <w:rFonts w:hint="eastAsia" w:asciiTheme="minorEastAsia" w:hAnsiTheme="minorEastAsia" w:eastAsiaTheme="minorEastAsia"/>
          <w:szCs w:val="21"/>
          <w:highlight w:val="none"/>
        </w:rPr>
        <w:tab/>
      </w:r>
      <w:r>
        <w:rPr>
          <w:rFonts w:hint="eastAsia" w:asciiTheme="minorEastAsia" w:hAnsiTheme="minorEastAsia" w:eastAsiaTheme="minorEastAsia"/>
          <w:szCs w:val="21"/>
          <w:highlight w:val="none"/>
        </w:rPr>
        <w:t>要求提供原件的，需提供文件原件；</w:t>
      </w:r>
      <w:r>
        <w:rPr>
          <w:rFonts w:hint="eastAsia" w:asciiTheme="minorEastAsia" w:hAnsiTheme="minorEastAsia" w:eastAsiaTheme="minorEastAsia"/>
          <w:highlight w:val="none"/>
          <w:lang w:val="en-US" w:eastAsia="zh-CN"/>
        </w:rPr>
        <w:t>其他</w:t>
      </w:r>
      <w:r>
        <w:rPr>
          <w:rFonts w:hint="eastAsia" w:asciiTheme="minorEastAsia" w:hAnsiTheme="minorEastAsia" w:eastAsiaTheme="minorEastAsia"/>
          <w:highlight w:val="none"/>
        </w:rPr>
        <w:t>证明文件可为</w:t>
      </w:r>
      <w:r>
        <w:rPr>
          <w:rFonts w:hint="eastAsia" w:asciiTheme="minorEastAsia" w:hAnsiTheme="minorEastAsia" w:eastAsiaTheme="minorEastAsia"/>
          <w:highlight w:val="none"/>
          <w:lang w:val="en-US" w:eastAsia="zh-CN"/>
        </w:rPr>
        <w:t>扫描件</w:t>
      </w:r>
      <w:r>
        <w:rPr>
          <w:rFonts w:hint="eastAsia" w:asciiTheme="minorEastAsia" w:hAnsiTheme="minorEastAsia" w:eastAsiaTheme="minorEastAsia"/>
          <w:szCs w:val="21"/>
          <w:highlight w:val="none"/>
        </w:rPr>
        <w:t>。</w:t>
      </w:r>
    </w:p>
    <w:p w14:paraId="10FF28C4">
      <w:pPr>
        <w:rPr>
          <w:rFonts w:hint="eastAsia" w:asciiTheme="minorEastAsia" w:hAnsiTheme="minorEastAsia" w:eastAsiaTheme="minorEastAsia"/>
          <w:sz w:val="24"/>
          <w:szCs w:val="24"/>
          <w:highlight w:val="none"/>
        </w:rPr>
      </w:pPr>
      <w:bookmarkStart w:id="2180" w:name="_Toc38008103"/>
      <w:bookmarkStart w:id="2181" w:name="_Toc29039"/>
      <w:bookmarkStart w:id="2182" w:name="_Toc8953"/>
      <w:bookmarkStart w:id="2183" w:name="_Toc4177"/>
      <w:bookmarkStart w:id="2184" w:name="_Toc8443"/>
      <w:bookmarkStart w:id="2185" w:name="_Toc139026992"/>
      <w:bookmarkStart w:id="2186" w:name="_Toc31360"/>
      <w:bookmarkStart w:id="2187" w:name="_Toc475472693"/>
      <w:bookmarkStart w:id="2188" w:name="_Toc14316"/>
      <w:r>
        <w:rPr>
          <w:rFonts w:hint="eastAsia" w:asciiTheme="minorEastAsia" w:hAnsiTheme="minorEastAsia" w:eastAsiaTheme="minorEastAsia"/>
          <w:sz w:val="24"/>
          <w:szCs w:val="24"/>
          <w:highlight w:val="none"/>
        </w:rPr>
        <w:br w:type="page"/>
      </w:r>
    </w:p>
    <w:p w14:paraId="4C5B7C12">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189" w:name="_Toc15432"/>
      <w:bookmarkStart w:id="2190" w:name="_Toc22913"/>
      <w:bookmarkStart w:id="2191" w:name="_Toc21523"/>
      <w:bookmarkStart w:id="2192" w:name="_Toc4123"/>
      <w:bookmarkStart w:id="2193" w:name="_Toc19916"/>
      <w:bookmarkStart w:id="2194" w:name="_Toc25715"/>
      <w:bookmarkStart w:id="2195" w:name="_Toc20326"/>
      <w:bookmarkStart w:id="2196" w:name="_Toc13555"/>
      <w:bookmarkStart w:id="2197" w:name="_Toc14095"/>
      <w:bookmarkStart w:id="2198" w:name="_Toc15124"/>
      <w:bookmarkStart w:id="2199" w:name="_Toc1362"/>
      <w:r>
        <w:rPr>
          <w:rFonts w:hint="eastAsia" w:cs="Times New Roman" w:asciiTheme="minorEastAsia" w:hAnsiTheme="minorEastAsia" w:eastAsiaTheme="minorEastAsia"/>
          <w:b/>
          <w:bCs/>
          <w:kern w:val="2"/>
          <w:sz w:val="24"/>
          <w:szCs w:val="24"/>
          <w:lang w:val="en-US" w:eastAsia="zh-CN" w:bidi="ar-SA"/>
        </w:rPr>
        <w:t>31.外部组件软件成分信息清单模版</w:t>
      </w:r>
      <w:bookmarkEnd w:id="2189"/>
      <w:bookmarkEnd w:id="2190"/>
      <w:bookmarkEnd w:id="2191"/>
      <w:bookmarkEnd w:id="2192"/>
      <w:bookmarkEnd w:id="2193"/>
      <w:bookmarkEnd w:id="2194"/>
      <w:bookmarkEnd w:id="2195"/>
      <w:bookmarkEnd w:id="2196"/>
      <w:bookmarkEnd w:id="2197"/>
      <w:bookmarkEnd w:id="2198"/>
      <w:bookmarkEnd w:id="2199"/>
    </w:p>
    <w:p w14:paraId="5A118E8A">
      <w:pPr>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填写说明：</w:t>
      </w:r>
    </w:p>
    <w:p w14:paraId="31CCAD8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1、应用</w:t>
      </w:r>
      <w:r>
        <w:rPr>
          <w:rFonts w:hint="eastAsia" w:ascii="微软雅黑" w:hAnsi="微软雅黑" w:eastAsia="微软雅黑" w:cs="Times New Roman"/>
          <w:i/>
          <w:color w:val="5B9BD5"/>
          <w:sz w:val="20"/>
          <w:szCs w:val="22"/>
        </w:rPr>
        <w:t>开发</w:t>
      </w:r>
      <w:r>
        <w:rPr>
          <w:rFonts w:ascii="微软雅黑" w:hAnsi="微软雅黑" w:eastAsia="微软雅黑" w:cs="Times New Roman"/>
          <w:i/>
          <w:color w:val="5B9BD5"/>
          <w:sz w:val="20"/>
          <w:szCs w:val="22"/>
        </w:rPr>
        <w:t>软件：</w:t>
      </w:r>
      <w:r>
        <w:rPr>
          <w:rFonts w:hint="eastAsia" w:ascii="微软雅黑" w:hAnsi="微软雅黑" w:eastAsia="微软雅黑" w:cs="Times New Roman"/>
          <w:i/>
          <w:color w:val="5B9BD5"/>
          <w:sz w:val="20"/>
          <w:szCs w:val="22"/>
        </w:rPr>
        <w:t>交付上线、</w:t>
      </w:r>
      <w:r>
        <w:rPr>
          <w:rFonts w:ascii="微软雅黑" w:hAnsi="微软雅黑" w:eastAsia="微软雅黑" w:cs="Times New Roman"/>
          <w:i/>
          <w:color w:val="5B9BD5"/>
          <w:sz w:val="20"/>
          <w:szCs w:val="22"/>
        </w:rPr>
        <w:t>初验、终验阶段必须按照格式提供</w:t>
      </w:r>
      <w:r>
        <w:rPr>
          <w:rFonts w:hint="eastAsia" w:ascii="微软雅黑" w:hAnsi="微软雅黑" w:eastAsia="微软雅黑" w:cs="Times New Roman"/>
          <w:i/>
          <w:color w:val="5B9BD5"/>
          <w:sz w:val="20"/>
          <w:szCs w:val="22"/>
        </w:rPr>
        <w:t>最新</w:t>
      </w:r>
      <w:r>
        <w:rPr>
          <w:rFonts w:ascii="微软雅黑" w:hAnsi="微软雅黑" w:eastAsia="微软雅黑" w:cs="Times New Roman"/>
          <w:i/>
          <w:color w:val="5B9BD5"/>
          <w:sz w:val="20"/>
          <w:szCs w:val="22"/>
        </w:rPr>
        <w:t>完整的软件成分信息</w:t>
      </w:r>
      <w:r>
        <w:rPr>
          <w:rFonts w:hint="eastAsia" w:ascii="微软雅黑" w:hAnsi="微软雅黑" w:eastAsia="微软雅黑" w:cs="Times New Roman"/>
          <w:i/>
          <w:color w:val="5B9BD5"/>
          <w:sz w:val="20"/>
          <w:szCs w:val="22"/>
        </w:rPr>
        <w:t>。</w:t>
      </w:r>
    </w:p>
    <w:p w14:paraId="00BFF89A">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2、</w:t>
      </w:r>
      <w:r>
        <w:rPr>
          <w:rFonts w:hint="eastAsia" w:ascii="微软雅黑" w:hAnsi="微软雅黑" w:eastAsia="微软雅黑" w:cs="Times New Roman"/>
          <w:i/>
          <w:color w:val="5B9BD5"/>
          <w:sz w:val="20"/>
          <w:szCs w:val="22"/>
        </w:rPr>
        <w:t>成熟商业软件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投标文件/参选文件/应答文件</w:t>
      </w:r>
      <w:r>
        <w:rPr>
          <w:rFonts w:ascii="微软雅黑" w:hAnsi="微软雅黑" w:eastAsia="微软雅黑" w:cs="Times New Roman"/>
          <w:i/>
          <w:color w:val="5B9BD5"/>
          <w:sz w:val="20"/>
          <w:szCs w:val="22"/>
        </w:rPr>
        <w:t>、</w:t>
      </w:r>
      <w:r>
        <w:rPr>
          <w:rFonts w:hint="eastAsia" w:ascii="微软雅黑" w:hAnsi="微软雅黑" w:eastAsia="微软雅黑" w:cs="Times New Roman"/>
          <w:i/>
          <w:color w:val="5B9BD5"/>
          <w:sz w:val="20"/>
          <w:szCs w:val="22"/>
        </w:rPr>
        <w:t>合同附件</w:t>
      </w:r>
      <w:r>
        <w:rPr>
          <w:rFonts w:ascii="微软雅黑" w:hAnsi="微软雅黑" w:eastAsia="微软雅黑" w:cs="Times New Roman"/>
          <w:i/>
          <w:color w:val="5B9BD5"/>
          <w:sz w:val="20"/>
          <w:szCs w:val="22"/>
        </w:rPr>
        <w:t>中均必须按照格式提供完整的软件成分信息</w:t>
      </w:r>
    </w:p>
    <w:p w14:paraId="26224527">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3、如不提供，供应商须提供承诺软件代码均为100%</w:t>
      </w:r>
      <w:r>
        <w:rPr>
          <w:rFonts w:hint="eastAsia" w:ascii="微软雅黑" w:hAnsi="微软雅黑" w:eastAsia="微软雅黑" w:cs="Times New Roman"/>
          <w:i/>
          <w:color w:val="5B9BD5"/>
          <w:sz w:val="20"/>
          <w:szCs w:val="22"/>
        </w:rPr>
        <w:t>自主编写代码。</w:t>
      </w:r>
    </w:p>
    <w:p w14:paraId="29A311B3">
      <w:pPr>
        <w:spacing w:line="0" w:lineRule="atLeast"/>
        <w:jc w:val="left"/>
        <w:rPr>
          <w:rFonts w:ascii="微软雅黑" w:hAnsi="微软雅黑" w:eastAsia="微软雅黑" w:cs="Times New Roman"/>
          <w:sz w:val="20"/>
          <w:szCs w:val="22"/>
        </w:rPr>
      </w:pPr>
    </w:p>
    <w:p w14:paraId="0A5E5D5B">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00" w:name="_Toc11963"/>
      <w:bookmarkStart w:id="2201" w:name="_Toc13023"/>
      <w:bookmarkStart w:id="2202" w:name="_Toc18174"/>
      <w:bookmarkStart w:id="2203" w:name="_Toc4584"/>
      <w:bookmarkStart w:id="2204" w:name="_Toc28754"/>
      <w:bookmarkStart w:id="2205" w:name="_Toc4492"/>
      <w:bookmarkStart w:id="2206" w:name="_Toc6869"/>
      <w:bookmarkStart w:id="2207" w:name="_Toc22916"/>
      <w:bookmarkStart w:id="2208" w:name="_Toc813"/>
      <w:bookmarkStart w:id="2209" w:name="_Toc13002"/>
      <w:bookmarkStart w:id="2210" w:name="_Toc14966"/>
      <w:r>
        <w:rPr>
          <w:rFonts w:hint="eastAsia" w:ascii="等线" w:hAnsi="等线" w:eastAsia="等线" w:cs="Times New Roman"/>
          <w:b/>
          <w:kern w:val="2"/>
          <w:sz w:val="24"/>
          <w:szCs w:val="24"/>
          <w:lang w:val="en-US" w:eastAsia="zh-CN" w:bidi="ar-SA"/>
        </w:rPr>
        <w:t>一、软件基本信息</w:t>
      </w:r>
      <w:bookmarkEnd w:id="2200"/>
      <w:bookmarkEnd w:id="2201"/>
      <w:bookmarkEnd w:id="2202"/>
      <w:bookmarkEnd w:id="2203"/>
      <w:bookmarkEnd w:id="2204"/>
      <w:bookmarkEnd w:id="2205"/>
      <w:bookmarkEnd w:id="2206"/>
      <w:bookmarkEnd w:id="2207"/>
      <w:bookmarkEnd w:id="2208"/>
      <w:bookmarkEnd w:id="2209"/>
      <w:bookmarkEnd w:id="2210"/>
    </w:p>
    <w:tbl>
      <w:tblPr>
        <w:tblStyle w:val="39"/>
        <w:tblW w:w="5000" w:type="pct"/>
        <w:tblInd w:w="0" w:type="dxa"/>
        <w:tblLayout w:type="autofit"/>
        <w:tblCellMar>
          <w:top w:w="0" w:type="dxa"/>
          <w:left w:w="108" w:type="dxa"/>
          <w:bottom w:w="0" w:type="dxa"/>
          <w:right w:w="108" w:type="dxa"/>
        </w:tblCellMar>
      </w:tblPr>
      <w:tblGrid>
        <w:gridCol w:w="1576"/>
        <w:gridCol w:w="2062"/>
        <w:gridCol w:w="2698"/>
        <w:gridCol w:w="2192"/>
      </w:tblGrid>
      <w:tr w14:paraId="3E51FB8C">
        <w:tblPrEx>
          <w:tblCellMar>
            <w:top w:w="0" w:type="dxa"/>
            <w:left w:w="108" w:type="dxa"/>
            <w:bottom w:w="0" w:type="dxa"/>
            <w:right w:w="108" w:type="dxa"/>
          </w:tblCellMar>
        </w:tblPrEx>
        <w:trPr>
          <w:trHeight w:val="330" w:hRule="atLeast"/>
        </w:trPr>
        <w:tc>
          <w:tcPr>
            <w:tcW w:w="924" w:type="pct"/>
            <w:tcBorders>
              <w:top w:val="single" w:color="auto" w:sz="4" w:space="0"/>
              <w:left w:val="single" w:color="auto" w:sz="4" w:space="0"/>
              <w:bottom w:val="single" w:color="auto" w:sz="4" w:space="0"/>
              <w:right w:val="single" w:color="auto" w:sz="4" w:space="0"/>
            </w:tcBorders>
            <w:shd w:val="clear" w:color="000000" w:fill="auto"/>
            <w:vAlign w:val="center"/>
          </w:tcPr>
          <w:p w14:paraId="663C09C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类型</w:t>
            </w:r>
          </w:p>
        </w:tc>
        <w:tc>
          <w:tcPr>
            <w:tcW w:w="1209" w:type="pct"/>
            <w:tcBorders>
              <w:top w:val="single" w:color="auto" w:sz="4" w:space="0"/>
              <w:left w:val="nil"/>
              <w:bottom w:val="single" w:color="auto" w:sz="4" w:space="0"/>
              <w:right w:val="single" w:color="auto" w:sz="4" w:space="0"/>
            </w:tcBorders>
            <w:shd w:val="clear" w:color="000000" w:fill="auto"/>
            <w:vAlign w:val="center"/>
          </w:tcPr>
          <w:p w14:paraId="7EDAD3B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组成项</w:t>
            </w:r>
          </w:p>
        </w:tc>
        <w:tc>
          <w:tcPr>
            <w:tcW w:w="1582" w:type="pct"/>
            <w:tcBorders>
              <w:top w:val="single" w:color="auto" w:sz="4" w:space="0"/>
              <w:left w:val="nil"/>
              <w:bottom w:val="single" w:color="auto" w:sz="4" w:space="0"/>
              <w:right w:val="single" w:color="auto" w:sz="4" w:space="0"/>
            </w:tcBorders>
            <w:shd w:val="clear" w:color="000000" w:fill="auto"/>
            <w:vAlign w:val="center"/>
          </w:tcPr>
          <w:p w14:paraId="4E04A24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描述</w:t>
            </w:r>
          </w:p>
        </w:tc>
        <w:tc>
          <w:tcPr>
            <w:tcW w:w="1285" w:type="pct"/>
            <w:tcBorders>
              <w:top w:val="single" w:color="auto" w:sz="4" w:space="0"/>
              <w:left w:val="nil"/>
              <w:bottom w:val="single" w:color="auto" w:sz="4" w:space="0"/>
              <w:right w:val="single" w:color="auto" w:sz="4" w:space="0"/>
            </w:tcBorders>
            <w:shd w:val="clear" w:color="000000" w:fill="auto"/>
            <w:vAlign w:val="center"/>
          </w:tcPr>
          <w:p w14:paraId="41C3538D">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内容（填写此列）</w:t>
            </w:r>
          </w:p>
        </w:tc>
      </w:tr>
      <w:tr w14:paraId="4C98A4A0">
        <w:tblPrEx>
          <w:tblCellMar>
            <w:top w:w="0" w:type="dxa"/>
            <w:left w:w="108" w:type="dxa"/>
            <w:bottom w:w="0" w:type="dxa"/>
            <w:right w:w="108" w:type="dxa"/>
          </w:tblCellMar>
        </w:tblPrEx>
        <w:trPr>
          <w:trHeight w:val="330" w:hRule="atLeast"/>
        </w:trPr>
        <w:tc>
          <w:tcPr>
            <w:tcW w:w="924" w:type="pct"/>
            <w:vMerge w:val="restart"/>
            <w:tcBorders>
              <w:top w:val="nil"/>
              <w:left w:val="single" w:color="auto" w:sz="4" w:space="0"/>
              <w:bottom w:val="single" w:color="auto" w:sz="4" w:space="0"/>
              <w:right w:val="single" w:color="auto" w:sz="4" w:space="0"/>
            </w:tcBorders>
            <w:shd w:val="clear" w:color="auto" w:fill="auto"/>
            <w:vAlign w:val="center"/>
          </w:tcPr>
          <w:p w14:paraId="2B387DA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软件基本信息</w:t>
            </w:r>
          </w:p>
        </w:tc>
        <w:tc>
          <w:tcPr>
            <w:tcW w:w="1209" w:type="pct"/>
            <w:tcBorders>
              <w:top w:val="nil"/>
              <w:left w:val="nil"/>
              <w:bottom w:val="single" w:color="auto" w:sz="4" w:space="0"/>
              <w:right w:val="single" w:color="auto" w:sz="4" w:space="0"/>
            </w:tcBorders>
            <w:shd w:val="clear" w:color="auto" w:fill="auto"/>
            <w:vAlign w:val="center"/>
          </w:tcPr>
          <w:p w14:paraId="1AA66DC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软件名称</w:t>
            </w:r>
          </w:p>
        </w:tc>
        <w:tc>
          <w:tcPr>
            <w:tcW w:w="1582" w:type="pct"/>
            <w:tcBorders>
              <w:top w:val="nil"/>
              <w:left w:val="nil"/>
              <w:bottom w:val="single" w:color="auto" w:sz="4" w:space="0"/>
              <w:right w:val="single" w:color="auto" w:sz="4" w:space="0"/>
            </w:tcBorders>
            <w:shd w:val="clear" w:color="auto" w:fill="auto"/>
            <w:vAlign w:val="center"/>
          </w:tcPr>
          <w:p w14:paraId="1858E4E5">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标识软件的实体名称</w:t>
            </w:r>
          </w:p>
        </w:tc>
        <w:tc>
          <w:tcPr>
            <w:tcW w:w="1285" w:type="pct"/>
            <w:tcBorders>
              <w:top w:val="nil"/>
              <w:left w:val="nil"/>
              <w:bottom w:val="single" w:color="auto" w:sz="4" w:space="0"/>
              <w:right w:val="single" w:color="auto" w:sz="4" w:space="0"/>
            </w:tcBorders>
            <w:shd w:val="clear" w:color="auto" w:fill="auto"/>
            <w:noWrap/>
            <w:vAlign w:val="bottom"/>
          </w:tcPr>
          <w:p w14:paraId="754A98A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73CA0FC3">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6EDF446B">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8E9D9DD">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软件责任主体名称</w:t>
            </w:r>
          </w:p>
        </w:tc>
        <w:tc>
          <w:tcPr>
            <w:tcW w:w="1582" w:type="pct"/>
            <w:tcBorders>
              <w:top w:val="nil"/>
              <w:left w:val="nil"/>
              <w:bottom w:val="single" w:color="auto" w:sz="4" w:space="0"/>
              <w:right w:val="single" w:color="auto" w:sz="4" w:space="0"/>
            </w:tcBorders>
            <w:shd w:val="clear" w:color="auto" w:fill="auto"/>
            <w:vAlign w:val="center"/>
          </w:tcPr>
          <w:p w14:paraId="2B343E3A">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软件责任人或团体名称</w:t>
            </w:r>
          </w:p>
        </w:tc>
        <w:tc>
          <w:tcPr>
            <w:tcW w:w="1285" w:type="pct"/>
            <w:tcBorders>
              <w:top w:val="nil"/>
              <w:left w:val="nil"/>
              <w:bottom w:val="single" w:color="auto" w:sz="4" w:space="0"/>
              <w:right w:val="single" w:color="auto" w:sz="4" w:space="0"/>
            </w:tcBorders>
            <w:shd w:val="clear" w:color="auto" w:fill="auto"/>
            <w:noWrap/>
            <w:vAlign w:val="bottom"/>
          </w:tcPr>
          <w:p w14:paraId="6A8C507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7879847">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E442C4B">
            <w:pPr>
              <w:spacing w:line="360" w:lineRule="auto"/>
              <w:jc w:val="center"/>
              <w:rPr>
                <w:rFonts w:ascii="微软雅黑" w:hAnsi="微软雅黑" w:eastAsia="微软雅黑" w:cs="Times New Roman"/>
                <w:sz w:val="20"/>
                <w:szCs w:val="22"/>
                <w:highlight w:val="yellow"/>
              </w:rPr>
            </w:pPr>
          </w:p>
        </w:tc>
        <w:tc>
          <w:tcPr>
            <w:tcW w:w="1209" w:type="pct"/>
            <w:tcBorders>
              <w:top w:val="nil"/>
              <w:left w:val="nil"/>
              <w:bottom w:val="single" w:color="auto" w:sz="4" w:space="0"/>
              <w:right w:val="single" w:color="auto" w:sz="4" w:space="0"/>
            </w:tcBorders>
            <w:shd w:val="clear" w:color="auto" w:fill="auto"/>
            <w:vAlign w:val="center"/>
          </w:tcPr>
          <w:p w14:paraId="6D0B883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软件供应商</w:t>
            </w:r>
          </w:p>
        </w:tc>
        <w:tc>
          <w:tcPr>
            <w:tcW w:w="1582" w:type="pct"/>
            <w:tcBorders>
              <w:top w:val="nil"/>
              <w:left w:val="nil"/>
              <w:bottom w:val="single" w:color="auto" w:sz="4" w:space="0"/>
              <w:right w:val="single" w:color="auto" w:sz="4" w:space="0"/>
            </w:tcBorders>
            <w:shd w:val="clear" w:color="auto" w:fill="auto"/>
            <w:vAlign w:val="center"/>
          </w:tcPr>
          <w:p w14:paraId="6253B84B">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原始供应商</w:t>
            </w:r>
          </w:p>
        </w:tc>
        <w:tc>
          <w:tcPr>
            <w:tcW w:w="1285" w:type="pct"/>
            <w:tcBorders>
              <w:top w:val="nil"/>
              <w:left w:val="nil"/>
              <w:bottom w:val="single" w:color="auto" w:sz="4" w:space="0"/>
              <w:right w:val="single" w:color="auto" w:sz="4" w:space="0"/>
            </w:tcBorders>
            <w:shd w:val="clear" w:color="auto" w:fill="auto"/>
            <w:noWrap/>
            <w:vAlign w:val="bottom"/>
          </w:tcPr>
          <w:p w14:paraId="7971B1A3">
            <w:pPr>
              <w:spacing w:line="360" w:lineRule="auto"/>
              <w:jc w:val="center"/>
              <w:rPr>
                <w:rFonts w:ascii="微软雅黑" w:hAnsi="微软雅黑" w:eastAsia="微软雅黑" w:cs="Times New Roman"/>
                <w:sz w:val="20"/>
                <w:szCs w:val="22"/>
                <w:highlight w:val="yellow"/>
              </w:rPr>
            </w:pPr>
          </w:p>
        </w:tc>
      </w:tr>
      <w:tr w14:paraId="1A511F74">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4C623EDE">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7850F4A6">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软件版本</w:t>
            </w:r>
          </w:p>
        </w:tc>
        <w:tc>
          <w:tcPr>
            <w:tcW w:w="1582" w:type="pct"/>
            <w:tcBorders>
              <w:top w:val="nil"/>
              <w:left w:val="nil"/>
              <w:bottom w:val="single" w:color="auto" w:sz="4" w:space="0"/>
              <w:right w:val="single" w:color="auto" w:sz="4" w:space="0"/>
            </w:tcBorders>
            <w:shd w:val="clear" w:color="auto" w:fill="auto"/>
            <w:vAlign w:val="center"/>
          </w:tcPr>
          <w:p w14:paraId="461A66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供应商用于标识软件修改的版本标识符</w:t>
            </w:r>
          </w:p>
        </w:tc>
        <w:tc>
          <w:tcPr>
            <w:tcW w:w="1285" w:type="pct"/>
            <w:tcBorders>
              <w:top w:val="nil"/>
              <w:left w:val="nil"/>
              <w:bottom w:val="single" w:color="auto" w:sz="4" w:space="0"/>
              <w:right w:val="single" w:color="auto" w:sz="4" w:space="0"/>
            </w:tcBorders>
            <w:shd w:val="clear" w:color="auto" w:fill="auto"/>
            <w:noWrap/>
            <w:vAlign w:val="bottom"/>
          </w:tcPr>
          <w:p w14:paraId="20950EF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40F86C3">
        <w:tblPrEx>
          <w:tblCellMar>
            <w:top w:w="0" w:type="dxa"/>
            <w:left w:w="108" w:type="dxa"/>
            <w:bottom w:w="0" w:type="dxa"/>
            <w:right w:w="108" w:type="dxa"/>
          </w:tblCellMar>
        </w:tblPrEx>
        <w:trPr>
          <w:trHeight w:val="660" w:hRule="atLeast"/>
        </w:trPr>
        <w:tc>
          <w:tcPr>
            <w:tcW w:w="924" w:type="pct"/>
            <w:vMerge w:val="continue"/>
            <w:tcBorders>
              <w:top w:val="nil"/>
              <w:left w:val="single" w:color="auto" w:sz="4" w:space="0"/>
              <w:bottom w:val="single" w:color="auto" w:sz="4" w:space="0"/>
              <w:right w:val="single" w:color="auto" w:sz="4" w:space="0"/>
            </w:tcBorders>
            <w:vAlign w:val="center"/>
          </w:tcPr>
          <w:p w14:paraId="59C5AEFD">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6AC9534">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软件成分明细</w:t>
            </w:r>
          </w:p>
        </w:tc>
        <w:tc>
          <w:tcPr>
            <w:tcW w:w="1582" w:type="pct"/>
            <w:tcBorders>
              <w:top w:val="nil"/>
              <w:left w:val="nil"/>
              <w:bottom w:val="single" w:color="auto" w:sz="4" w:space="0"/>
              <w:right w:val="single" w:color="auto" w:sz="4" w:space="0"/>
            </w:tcBorders>
            <w:shd w:val="clear" w:color="auto" w:fill="auto"/>
            <w:vAlign w:val="center"/>
          </w:tcPr>
          <w:p w14:paraId="6ED6A42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包含开发工具、第三方软件、开源软件，详细在《软件成分明细》中列出</w:t>
            </w:r>
          </w:p>
        </w:tc>
        <w:tc>
          <w:tcPr>
            <w:tcW w:w="1285" w:type="pct"/>
            <w:tcBorders>
              <w:top w:val="nil"/>
              <w:left w:val="nil"/>
              <w:bottom w:val="single" w:color="auto" w:sz="4" w:space="0"/>
              <w:right w:val="single" w:color="auto" w:sz="4" w:space="0"/>
            </w:tcBorders>
            <w:shd w:val="clear" w:color="auto" w:fill="auto"/>
            <w:noWrap/>
            <w:vAlign w:val="bottom"/>
          </w:tcPr>
          <w:p w14:paraId="7D786E9E">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2DAF0A11">
        <w:tblPrEx>
          <w:tblCellMar>
            <w:top w:w="0" w:type="dxa"/>
            <w:left w:w="108" w:type="dxa"/>
            <w:bottom w:w="0" w:type="dxa"/>
            <w:right w:w="108" w:type="dxa"/>
          </w:tblCellMar>
        </w:tblPrEx>
        <w:trPr>
          <w:trHeight w:val="330" w:hRule="atLeast"/>
        </w:trPr>
        <w:tc>
          <w:tcPr>
            <w:tcW w:w="924" w:type="pct"/>
            <w:vMerge w:val="continue"/>
            <w:tcBorders>
              <w:top w:val="nil"/>
              <w:left w:val="single" w:color="auto" w:sz="4" w:space="0"/>
              <w:bottom w:val="single" w:color="auto" w:sz="4" w:space="0"/>
              <w:right w:val="single" w:color="auto" w:sz="4" w:space="0"/>
            </w:tcBorders>
            <w:vAlign w:val="center"/>
          </w:tcPr>
          <w:p w14:paraId="72B89AB1">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0C4AE200">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时间戳</w:t>
            </w:r>
          </w:p>
        </w:tc>
        <w:tc>
          <w:tcPr>
            <w:tcW w:w="1582" w:type="pct"/>
            <w:tcBorders>
              <w:top w:val="nil"/>
              <w:left w:val="nil"/>
              <w:bottom w:val="single" w:color="auto" w:sz="4" w:space="0"/>
              <w:right w:val="single" w:color="auto" w:sz="4" w:space="0"/>
            </w:tcBorders>
            <w:shd w:val="clear" w:color="auto" w:fill="auto"/>
            <w:vAlign w:val="center"/>
          </w:tcPr>
          <w:p w14:paraId="4DDB1E02">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记录软件基本信息生成的日期和时间</w:t>
            </w:r>
          </w:p>
        </w:tc>
        <w:tc>
          <w:tcPr>
            <w:tcW w:w="1285" w:type="pct"/>
            <w:tcBorders>
              <w:top w:val="nil"/>
              <w:left w:val="nil"/>
              <w:bottom w:val="single" w:color="auto" w:sz="4" w:space="0"/>
              <w:right w:val="single" w:color="auto" w:sz="4" w:space="0"/>
            </w:tcBorders>
            <w:shd w:val="clear" w:color="auto" w:fill="auto"/>
            <w:noWrap/>
            <w:vAlign w:val="bottom"/>
          </w:tcPr>
          <w:p w14:paraId="437BB53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4E35DEB3">
        <w:tblPrEx>
          <w:tblCellMar>
            <w:top w:w="0" w:type="dxa"/>
            <w:left w:w="108" w:type="dxa"/>
            <w:bottom w:w="0" w:type="dxa"/>
            <w:right w:w="108" w:type="dxa"/>
          </w:tblCellMar>
        </w:tblPrEx>
        <w:trPr>
          <w:trHeight w:val="753" w:hRule="atLeast"/>
        </w:trPr>
        <w:tc>
          <w:tcPr>
            <w:tcW w:w="924" w:type="pct"/>
            <w:vMerge w:val="continue"/>
            <w:tcBorders>
              <w:top w:val="nil"/>
              <w:left w:val="single" w:color="auto" w:sz="4" w:space="0"/>
              <w:bottom w:val="single" w:color="auto" w:sz="4" w:space="0"/>
              <w:right w:val="single" w:color="auto" w:sz="4" w:space="0"/>
            </w:tcBorders>
            <w:vAlign w:val="center"/>
          </w:tcPr>
          <w:p w14:paraId="268838D7">
            <w:pPr>
              <w:spacing w:line="360" w:lineRule="auto"/>
              <w:jc w:val="center"/>
              <w:rPr>
                <w:rFonts w:ascii="微软雅黑" w:hAnsi="微软雅黑" w:eastAsia="微软雅黑" w:cs="Times New Roman"/>
                <w:sz w:val="20"/>
                <w:szCs w:val="22"/>
              </w:rPr>
            </w:pPr>
          </w:p>
        </w:tc>
        <w:tc>
          <w:tcPr>
            <w:tcW w:w="1209" w:type="pct"/>
            <w:tcBorders>
              <w:top w:val="nil"/>
              <w:left w:val="nil"/>
              <w:bottom w:val="single" w:color="auto" w:sz="4" w:space="0"/>
              <w:right w:val="single" w:color="auto" w:sz="4" w:space="0"/>
            </w:tcBorders>
            <w:shd w:val="clear" w:color="auto" w:fill="auto"/>
            <w:vAlign w:val="center"/>
          </w:tcPr>
          <w:p w14:paraId="6A625DC9">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软件信息签名（如校验哈希值）</w:t>
            </w:r>
          </w:p>
        </w:tc>
        <w:tc>
          <w:tcPr>
            <w:tcW w:w="1582" w:type="pct"/>
            <w:tcBorders>
              <w:top w:val="nil"/>
              <w:left w:val="nil"/>
              <w:bottom w:val="single" w:color="auto" w:sz="4" w:space="0"/>
              <w:right w:val="single" w:color="auto" w:sz="4" w:space="0"/>
            </w:tcBorders>
            <w:shd w:val="clear" w:color="auto" w:fill="auto"/>
            <w:vAlign w:val="center"/>
          </w:tcPr>
          <w:p w14:paraId="77A39AA0">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保证软件信息真实性、完整性</w:t>
            </w:r>
          </w:p>
        </w:tc>
        <w:tc>
          <w:tcPr>
            <w:tcW w:w="1285" w:type="pct"/>
            <w:tcBorders>
              <w:top w:val="nil"/>
              <w:left w:val="nil"/>
              <w:bottom w:val="single" w:color="auto" w:sz="4" w:space="0"/>
              <w:right w:val="single" w:color="auto" w:sz="4" w:space="0"/>
            </w:tcBorders>
            <w:shd w:val="clear" w:color="auto" w:fill="auto"/>
            <w:noWrap/>
            <w:vAlign w:val="bottom"/>
          </w:tcPr>
          <w:p w14:paraId="0C034939">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r w14:paraId="318C0787">
        <w:tblPrEx>
          <w:tblCellMar>
            <w:top w:w="0" w:type="dxa"/>
            <w:left w:w="108" w:type="dxa"/>
            <w:bottom w:w="0" w:type="dxa"/>
            <w:right w:w="108" w:type="dxa"/>
          </w:tblCellMar>
        </w:tblPrEx>
        <w:trPr>
          <w:trHeight w:val="660" w:hRule="atLeast"/>
        </w:trPr>
        <w:tc>
          <w:tcPr>
            <w:tcW w:w="924" w:type="pct"/>
            <w:tcBorders>
              <w:top w:val="nil"/>
              <w:left w:val="single" w:color="auto" w:sz="4" w:space="0"/>
              <w:bottom w:val="single" w:color="auto" w:sz="4" w:space="0"/>
              <w:right w:val="single" w:color="auto" w:sz="4" w:space="0"/>
            </w:tcBorders>
            <w:shd w:val="clear" w:color="auto" w:fill="auto"/>
            <w:vAlign w:val="center"/>
          </w:tcPr>
          <w:p w14:paraId="2CC8EEE4">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软件扩展信息</w:t>
            </w:r>
          </w:p>
        </w:tc>
        <w:tc>
          <w:tcPr>
            <w:tcW w:w="1209" w:type="pct"/>
            <w:tcBorders>
              <w:top w:val="nil"/>
              <w:left w:val="nil"/>
              <w:bottom w:val="single" w:color="auto" w:sz="4" w:space="0"/>
              <w:right w:val="single" w:color="auto" w:sz="4" w:space="0"/>
            </w:tcBorders>
            <w:shd w:val="clear" w:color="auto" w:fill="auto"/>
            <w:vAlign w:val="center"/>
          </w:tcPr>
          <w:p w14:paraId="39E350C8">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软件知识产权信息</w:t>
            </w:r>
          </w:p>
        </w:tc>
        <w:tc>
          <w:tcPr>
            <w:tcW w:w="1582" w:type="pct"/>
            <w:tcBorders>
              <w:top w:val="nil"/>
              <w:left w:val="nil"/>
              <w:bottom w:val="single" w:color="auto" w:sz="4" w:space="0"/>
              <w:right w:val="single" w:color="auto" w:sz="4" w:space="0"/>
            </w:tcBorders>
            <w:shd w:val="clear" w:color="auto" w:fill="auto"/>
            <w:vAlign w:val="center"/>
          </w:tcPr>
          <w:p w14:paraId="62BF3CBB">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包含开源许可证版权与开放标准、第三方授权信息等</w:t>
            </w:r>
          </w:p>
        </w:tc>
        <w:tc>
          <w:tcPr>
            <w:tcW w:w="1285" w:type="pct"/>
            <w:tcBorders>
              <w:top w:val="nil"/>
              <w:left w:val="nil"/>
              <w:bottom w:val="single" w:color="auto" w:sz="4" w:space="0"/>
              <w:right w:val="single" w:color="auto" w:sz="4" w:space="0"/>
            </w:tcBorders>
            <w:shd w:val="clear" w:color="auto" w:fill="auto"/>
            <w:noWrap/>
            <w:vAlign w:val="bottom"/>
          </w:tcPr>
          <w:p w14:paraId="7B1ADD52">
            <w:pPr>
              <w:spacing w:line="360" w:lineRule="auto"/>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　</w:t>
            </w:r>
          </w:p>
        </w:tc>
      </w:tr>
    </w:tbl>
    <w:p w14:paraId="18F07943">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11" w:name="_Toc20831"/>
      <w:bookmarkStart w:id="2212" w:name="_Toc5282"/>
      <w:bookmarkStart w:id="2213" w:name="_Toc5693"/>
      <w:bookmarkStart w:id="2214" w:name="_Toc26995"/>
      <w:bookmarkStart w:id="2215" w:name="_Toc25766"/>
      <w:bookmarkStart w:id="2216" w:name="_Toc6165"/>
      <w:bookmarkStart w:id="2217" w:name="_Toc17864"/>
      <w:bookmarkStart w:id="2218" w:name="_Toc23102"/>
      <w:bookmarkStart w:id="2219" w:name="_Toc9698"/>
      <w:bookmarkStart w:id="2220" w:name="_Toc10885"/>
      <w:bookmarkStart w:id="2221" w:name="_Toc23068"/>
      <w:r>
        <w:rPr>
          <w:rFonts w:hint="eastAsia" w:ascii="等线" w:hAnsi="等线" w:eastAsia="等线" w:cs="Times New Roman"/>
          <w:b/>
          <w:kern w:val="2"/>
          <w:sz w:val="24"/>
          <w:szCs w:val="24"/>
          <w:lang w:val="en-US" w:eastAsia="zh-CN" w:bidi="ar-SA"/>
        </w:rPr>
        <w:t>二、软件成分明细</w:t>
      </w:r>
      <w:bookmarkEnd w:id="2211"/>
      <w:bookmarkEnd w:id="2212"/>
      <w:bookmarkEnd w:id="2213"/>
      <w:bookmarkEnd w:id="2214"/>
      <w:bookmarkEnd w:id="2215"/>
      <w:bookmarkEnd w:id="2216"/>
      <w:bookmarkEnd w:id="2217"/>
      <w:bookmarkEnd w:id="2218"/>
      <w:bookmarkEnd w:id="2219"/>
      <w:bookmarkEnd w:id="2220"/>
      <w:bookmarkEnd w:id="2221"/>
    </w:p>
    <w:p w14:paraId="4346E5B2">
      <w:pPr>
        <w:spacing w:line="360" w:lineRule="auto"/>
        <w:jc w:val="left"/>
        <w:rPr>
          <w:rFonts w:ascii="微软雅黑" w:hAnsi="微软雅黑" w:eastAsia="微软雅黑" w:cs="Times New Roman"/>
          <w:i/>
          <w:iCs/>
          <w:color w:val="5B9BD5"/>
          <w:sz w:val="20"/>
          <w:szCs w:val="22"/>
        </w:rPr>
      </w:pPr>
      <w:r>
        <w:rPr>
          <w:rFonts w:hint="eastAsia" w:ascii="微软雅黑" w:hAnsi="微软雅黑" w:eastAsia="微软雅黑" w:cs="Times New Roman"/>
          <w:i/>
          <w:iCs/>
          <w:color w:val="5B9BD5"/>
          <w:sz w:val="20"/>
          <w:szCs w:val="22"/>
        </w:rPr>
        <w:t>填写说明：</w:t>
      </w:r>
    </w:p>
    <w:p w14:paraId="74B6045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仅针对应用</w:t>
      </w:r>
      <w:r>
        <w:rPr>
          <w:rFonts w:hint="eastAsia" w:ascii="微软雅黑" w:hAnsi="微软雅黑" w:eastAsia="微软雅黑" w:cs="Times New Roman"/>
          <w:i/>
          <w:color w:val="5B9BD5"/>
          <w:sz w:val="20"/>
          <w:szCs w:val="22"/>
        </w:rPr>
        <w:t>开发软件在合同附件中单独提供，列出软件开发设计阶段，计划用到的各类软件成分，否则同《软件基本信息》表同步提供，</w:t>
      </w:r>
      <w:r>
        <w:rPr>
          <w:rFonts w:ascii="微软雅黑" w:hAnsi="微软雅黑" w:eastAsia="微软雅黑" w:cs="Times New Roman"/>
          <w:i/>
          <w:color w:val="5B9BD5"/>
          <w:sz w:val="20"/>
          <w:szCs w:val="22"/>
        </w:rPr>
        <w:t>软件成分</w:t>
      </w:r>
      <w:r>
        <w:rPr>
          <w:rFonts w:hint="eastAsia" w:ascii="微软雅黑" w:hAnsi="微软雅黑" w:eastAsia="微软雅黑" w:cs="Times New Roman"/>
          <w:i/>
          <w:color w:val="5B9BD5"/>
          <w:sz w:val="20"/>
          <w:szCs w:val="22"/>
        </w:rPr>
        <w:t>信息</w:t>
      </w:r>
      <w:r>
        <w:rPr>
          <w:rFonts w:ascii="微软雅黑" w:hAnsi="微软雅黑" w:eastAsia="微软雅黑" w:cs="Times New Roman"/>
          <w:i/>
          <w:color w:val="5B9BD5"/>
          <w:sz w:val="20"/>
          <w:szCs w:val="22"/>
        </w:rPr>
        <w:t>内容需要经过甲方建设单位审核同意</w:t>
      </w:r>
      <w:r>
        <w:rPr>
          <w:rFonts w:hint="eastAsia" w:ascii="微软雅黑" w:hAnsi="微软雅黑" w:eastAsia="微软雅黑" w:cs="Times New Roman"/>
          <w:i/>
          <w:color w:val="5B9BD5"/>
          <w:sz w:val="20"/>
          <w:szCs w:val="22"/>
        </w:rPr>
        <w:t>后使用</w:t>
      </w:r>
      <w:r>
        <w:rPr>
          <w:rFonts w:ascii="微软雅黑" w:hAnsi="微软雅黑" w:eastAsia="微软雅黑" w:cs="Times New Roman"/>
          <w:i/>
          <w:color w:val="5B9BD5"/>
          <w:sz w:val="20"/>
          <w:szCs w:val="22"/>
        </w:rPr>
        <w:t>，后续在软件开发实施过程中，如有更新，须经过审批后同步调整</w:t>
      </w:r>
      <w:r>
        <w:rPr>
          <w:rFonts w:hint="eastAsia" w:ascii="微软雅黑" w:hAnsi="微软雅黑" w:eastAsia="微软雅黑" w:cs="Times New Roman"/>
          <w:i/>
          <w:color w:val="5B9BD5"/>
          <w:sz w:val="20"/>
          <w:szCs w:val="22"/>
        </w:rPr>
        <w:t>。</w:t>
      </w:r>
    </w:p>
    <w:p w14:paraId="1669AD36">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22" w:name="_Toc32397"/>
      <w:bookmarkStart w:id="2223" w:name="_Toc12094"/>
      <w:bookmarkStart w:id="2224" w:name="_Toc29718"/>
      <w:bookmarkStart w:id="2225" w:name="_Toc32002"/>
      <w:bookmarkStart w:id="2226" w:name="_Toc1819"/>
      <w:bookmarkStart w:id="2227" w:name="_Toc5558"/>
      <w:bookmarkStart w:id="2228" w:name="_Toc10274"/>
      <w:bookmarkStart w:id="2229" w:name="_Toc22795"/>
      <w:bookmarkStart w:id="2230" w:name="_Toc22547"/>
      <w:bookmarkStart w:id="2231" w:name="_Toc32602"/>
      <w:bookmarkStart w:id="2232" w:name="_Toc16640"/>
      <w:r>
        <w:rPr>
          <w:rFonts w:hint="eastAsia" w:ascii="等线" w:hAnsi="等线" w:eastAsia="等线" w:cs="Times New Roman"/>
          <w:b/>
          <w:kern w:val="2"/>
          <w:sz w:val="24"/>
          <w:szCs w:val="24"/>
          <w:lang w:val="en-US" w:eastAsia="zh-CN" w:bidi="ar-SA"/>
        </w:rPr>
        <w:t>2.1 开发工具类</w:t>
      </w:r>
      <w:bookmarkEnd w:id="2222"/>
      <w:bookmarkEnd w:id="2223"/>
      <w:bookmarkEnd w:id="2224"/>
      <w:bookmarkEnd w:id="2225"/>
      <w:bookmarkEnd w:id="2226"/>
      <w:bookmarkEnd w:id="2227"/>
      <w:bookmarkEnd w:id="2228"/>
      <w:bookmarkEnd w:id="2229"/>
      <w:bookmarkEnd w:id="2230"/>
      <w:bookmarkEnd w:id="2231"/>
      <w:bookmarkEnd w:id="2232"/>
    </w:p>
    <w:p w14:paraId="76031ED4">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开发工具类是指涉及软件开发管理过程中使用到的工具，含编程语言工具、编译工具、管理工具、代码安全审核/ 审计工具、安全测试工具等。</w:t>
      </w:r>
    </w:p>
    <w:p w14:paraId="770FC70A">
      <w:pPr>
        <w:spacing w:line="0" w:lineRule="atLeast"/>
        <w:jc w:val="left"/>
        <w:rPr>
          <w:rFonts w:ascii="微软雅黑" w:hAnsi="微软雅黑" w:eastAsia="微软雅黑" w:cs="Times New Roman"/>
          <w:sz w:val="20"/>
          <w:szCs w:val="22"/>
        </w:rPr>
      </w:pPr>
    </w:p>
    <w:tbl>
      <w:tblPr>
        <w:tblStyle w:val="39"/>
        <w:tblW w:w="5000" w:type="pct"/>
        <w:tblInd w:w="0" w:type="dxa"/>
        <w:tblLayout w:type="fixed"/>
        <w:tblCellMar>
          <w:top w:w="0" w:type="dxa"/>
          <w:left w:w="108" w:type="dxa"/>
          <w:bottom w:w="0" w:type="dxa"/>
          <w:right w:w="108" w:type="dxa"/>
        </w:tblCellMar>
      </w:tblPr>
      <w:tblGrid>
        <w:gridCol w:w="544"/>
        <w:gridCol w:w="1054"/>
        <w:gridCol w:w="701"/>
        <w:gridCol w:w="1010"/>
        <w:gridCol w:w="2321"/>
        <w:gridCol w:w="2029"/>
        <w:gridCol w:w="869"/>
      </w:tblGrid>
      <w:tr w14:paraId="2F69B8EB">
        <w:tblPrEx>
          <w:tblCellMar>
            <w:top w:w="0" w:type="dxa"/>
            <w:left w:w="108" w:type="dxa"/>
            <w:bottom w:w="0" w:type="dxa"/>
            <w:right w:w="108" w:type="dxa"/>
          </w:tblCellMar>
        </w:tblPrEx>
        <w:trPr>
          <w:trHeight w:val="1408" w:hRule="atLeast"/>
        </w:trPr>
        <w:tc>
          <w:tcPr>
            <w:tcW w:w="3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A6E9385">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617" w:type="pct"/>
            <w:tcBorders>
              <w:top w:val="single" w:color="auto" w:sz="4" w:space="0"/>
              <w:left w:val="nil"/>
              <w:bottom w:val="single" w:color="auto" w:sz="4" w:space="0"/>
              <w:right w:val="single" w:color="auto" w:sz="4" w:space="0"/>
            </w:tcBorders>
            <w:shd w:val="clear" w:color="auto" w:fill="auto"/>
            <w:noWrap/>
            <w:vAlign w:val="center"/>
          </w:tcPr>
          <w:p w14:paraId="6C1BDFD0">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410" w:type="pct"/>
            <w:tcBorders>
              <w:top w:val="single" w:color="auto" w:sz="4" w:space="0"/>
              <w:left w:val="nil"/>
              <w:bottom w:val="single" w:color="auto" w:sz="4" w:space="0"/>
              <w:right w:val="single" w:color="auto" w:sz="4" w:space="0"/>
            </w:tcBorders>
            <w:shd w:val="clear" w:color="auto" w:fill="auto"/>
            <w:noWrap/>
            <w:vAlign w:val="center"/>
          </w:tcPr>
          <w:p w14:paraId="2AA0BD74">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592" w:type="pct"/>
            <w:tcBorders>
              <w:top w:val="single" w:color="auto" w:sz="4" w:space="0"/>
              <w:left w:val="nil"/>
              <w:bottom w:val="single" w:color="auto" w:sz="4" w:space="0"/>
              <w:right w:val="single" w:color="auto" w:sz="4" w:space="0"/>
            </w:tcBorders>
            <w:shd w:val="clear" w:color="auto" w:fill="auto"/>
            <w:noWrap/>
            <w:vAlign w:val="center"/>
          </w:tcPr>
          <w:p w14:paraId="56A9FA06">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1360" w:type="pct"/>
            <w:tcBorders>
              <w:top w:val="single" w:color="auto" w:sz="4" w:space="0"/>
              <w:left w:val="nil"/>
              <w:bottom w:val="single" w:color="auto" w:sz="4" w:space="0"/>
              <w:right w:val="single" w:color="auto" w:sz="4" w:space="0"/>
            </w:tcBorders>
            <w:shd w:val="clear" w:color="auto" w:fill="auto"/>
            <w:noWrap/>
            <w:vAlign w:val="center"/>
          </w:tcPr>
          <w:p w14:paraId="126A87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189" w:type="pct"/>
            <w:tcBorders>
              <w:top w:val="single" w:color="auto" w:sz="4" w:space="0"/>
              <w:left w:val="nil"/>
              <w:bottom w:val="single" w:color="auto" w:sz="4" w:space="0"/>
              <w:right w:val="single" w:color="auto" w:sz="4" w:space="0"/>
            </w:tcBorders>
            <w:shd w:val="clear" w:color="auto" w:fill="auto"/>
            <w:noWrap/>
            <w:vAlign w:val="center"/>
          </w:tcPr>
          <w:p w14:paraId="0A89F20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授权信息（开源工具-</w:t>
            </w:r>
            <w:r>
              <w:rPr>
                <w:rFonts w:hint="eastAsia" w:ascii="微软雅黑" w:hAnsi="微软雅黑" w:eastAsia="微软雅黑" w:cs="Times New Roman"/>
                <w:b/>
                <w:sz w:val="20"/>
                <w:szCs w:val="22"/>
              </w:rPr>
              <w:t>所使用的开源许可证类型</w:t>
            </w:r>
            <w:r>
              <w:rPr>
                <w:rFonts w:hint="eastAsia" w:ascii="微软雅黑" w:hAnsi="微软雅黑" w:eastAsia="微软雅黑" w:cs="Times New Roman"/>
                <w:sz w:val="20"/>
                <w:szCs w:val="22"/>
              </w:rPr>
              <w:t>、 采购工具-</w:t>
            </w:r>
            <w:r>
              <w:rPr>
                <w:rFonts w:hint="eastAsia" w:ascii="微软雅黑" w:hAnsi="微软雅黑" w:eastAsia="微软雅黑" w:cs="Times New Roman"/>
                <w:b/>
                <w:sz w:val="20"/>
                <w:szCs w:val="22"/>
              </w:rPr>
              <w:t>授权证明截图</w:t>
            </w:r>
            <w:r>
              <w:rPr>
                <w:rFonts w:hint="eastAsia" w:ascii="微软雅黑" w:hAnsi="微软雅黑" w:eastAsia="微软雅黑" w:cs="Times New Roman"/>
                <w:sz w:val="20"/>
                <w:szCs w:val="22"/>
              </w:rPr>
              <w:t>）</w:t>
            </w:r>
          </w:p>
        </w:tc>
        <w:tc>
          <w:tcPr>
            <w:tcW w:w="509" w:type="pct"/>
            <w:tcBorders>
              <w:top w:val="single" w:color="auto" w:sz="4" w:space="0"/>
              <w:left w:val="nil"/>
              <w:bottom w:val="single" w:color="auto" w:sz="4" w:space="0"/>
              <w:right w:val="single" w:color="auto" w:sz="4" w:space="0"/>
            </w:tcBorders>
            <w:shd w:val="clear" w:color="auto" w:fill="auto"/>
            <w:noWrap/>
            <w:vAlign w:val="center"/>
          </w:tcPr>
          <w:p w14:paraId="504DDBCB">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799A4C7E">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center"/>
          </w:tcPr>
          <w:p w14:paraId="55A77590">
            <w:pPr>
              <w:widowControl/>
              <w:spacing w:line="360" w:lineRule="auto"/>
              <w:jc w:val="center"/>
              <w:rPr>
                <w:rFonts w:ascii="等线" w:hAnsi="等线" w:eastAsia="等线" w:cs="宋体"/>
                <w:i/>
                <w:color w:val="5B9BD5"/>
                <w:kern w:val="0"/>
                <w:sz w:val="22"/>
                <w:szCs w:val="22"/>
              </w:rPr>
            </w:pPr>
            <w:r>
              <w:rPr>
                <w:rFonts w:hint="eastAsia" w:ascii="等线" w:hAnsi="等线" w:eastAsia="等线" w:cs="宋体"/>
                <w:i/>
                <w:iCs/>
                <w:color w:val="5B9BD5"/>
                <w:kern w:val="0"/>
                <w:sz w:val="22"/>
                <w:szCs w:val="22"/>
              </w:rPr>
              <w:t>示例</w:t>
            </w:r>
          </w:p>
        </w:tc>
        <w:tc>
          <w:tcPr>
            <w:tcW w:w="617" w:type="pct"/>
            <w:tcBorders>
              <w:top w:val="nil"/>
              <w:left w:val="nil"/>
              <w:bottom w:val="single" w:color="auto" w:sz="4" w:space="0"/>
              <w:right w:val="single" w:color="auto" w:sz="4" w:space="0"/>
            </w:tcBorders>
            <w:shd w:val="clear" w:color="auto" w:fill="auto"/>
            <w:noWrap/>
            <w:vAlign w:val="center"/>
          </w:tcPr>
          <w:p w14:paraId="122A758D">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代码编辑工具</w:t>
            </w:r>
          </w:p>
        </w:tc>
        <w:tc>
          <w:tcPr>
            <w:tcW w:w="410" w:type="pct"/>
            <w:tcBorders>
              <w:top w:val="nil"/>
              <w:left w:val="nil"/>
              <w:bottom w:val="single" w:color="auto" w:sz="4" w:space="0"/>
              <w:right w:val="single" w:color="auto" w:sz="4" w:space="0"/>
            </w:tcBorders>
            <w:shd w:val="clear" w:color="auto" w:fill="auto"/>
            <w:noWrap/>
            <w:vAlign w:val="center"/>
          </w:tcPr>
          <w:p w14:paraId="3BB2C325">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IntelliJ IDEA</w:t>
            </w:r>
          </w:p>
        </w:tc>
        <w:tc>
          <w:tcPr>
            <w:tcW w:w="592" w:type="pct"/>
            <w:tcBorders>
              <w:top w:val="nil"/>
              <w:left w:val="nil"/>
              <w:bottom w:val="single" w:color="auto" w:sz="4" w:space="0"/>
              <w:right w:val="single" w:color="auto" w:sz="4" w:space="0"/>
            </w:tcBorders>
            <w:shd w:val="clear" w:color="auto" w:fill="auto"/>
            <w:noWrap/>
            <w:vAlign w:val="center"/>
          </w:tcPr>
          <w:p w14:paraId="2CBE426B">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2024.1</w:t>
            </w:r>
          </w:p>
        </w:tc>
        <w:tc>
          <w:tcPr>
            <w:tcW w:w="1360" w:type="pct"/>
            <w:tcBorders>
              <w:top w:val="nil"/>
              <w:left w:val="nil"/>
              <w:bottom w:val="single" w:color="auto" w:sz="4" w:space="0"/>
              <w:right w:val="single" w:color="auto" w:sz="4" w:space="0"/>
            </w:tcBorders>
            <w:shd w:val="clear" w:color="auto" w:fill="auto"/>
            <w:noWrap/>
            <w:vAlign w:val="center"/>
          </w:tcPr>
          <w:p w14:paraId="78015B08">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官网下载，下载链接：https://www.jetbrains.com/zh-cn/idea/download/?section=windows</w:t>
            </w:r>
          </w:p>
        </w:tc>
        <w:tc>
          <w:tcPr>
            <w:tcW w:w="1189" w:type="pct"/>
            <w:tcBorders>
              <w:top w:val="nil"/>
              <w:left w:val="nil"/>
              <w:bottom w:val="single" w:color="auto" w:sz="4" w:space="0"/>
              <w:right w:val="single" w:color="auto" w:sz="4" w:space="0"/>
            </w:tcBorders>
            <w:shd w:val="clear" w:color="auto" w:fill="auto"/>
            <w:noWrap/>
            <w:vAlign w:val="center"/>
          </w:tcPr>
          <w:p w14:paraId="37A8206C">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开源，j2ee_license、CDDLv1.0许可</w:t>
            </w:r>
          </w:p>
        </w:tc>
        <w:tc>
          <w:tcPr>
            <w:tcW w:w="509" w:type="pct"/>
            <w:tcBorders>
              <w:top w:val="nil"/>
              <w:left w:val="nil"/>
              <w:bottom w:val="single" w:color="auto" w:sz="4" w:space="0"/>
              <w:right w:val="single" w:color="auto" w:sz="4" w:space="0"/>
            </w:tcBorders>
            <w:shd w:val="clear" w:color="auto" w:fill="auto"/>
            <w:noWrap/>
            <w:vAlign w:val="bottom"/>
          </w:tcPr>
          <w:p w14:paraId="6D3770B0">
            <w:pPr>
              <w:widowControl/>
              <w:spacing w:line="360" w:lineRule="auto"/>
              <w:jc w:val="left"/>
              <w:rPr>
                <w:rFonts w:ascii="等线" w:hAnsi="等线" w:eastAsia="等线" w:cs="宋体"/>
                <w:color w:val="5B9BD5"/>
                <w:kern w:val="0"/>
                <w:sz w:val="22"/>
                <w:szCs w:val="22"/>
              </w:rPr>
            </w:pPr>
          </w:p>
        </w:tc>
      </w:tr>
      <w:tr w14:paraId="58C5FB99">
        <w:tblPrEx>
          <w:tblCellMar>
            <w:top w:w="0" w:type="dxa"/>
            <w:left w:w="108" w:type="dxa"/>
            <w:bottom w:w="0" w:type="dxa"/>
            <w:right w:w="108" w:type="dxa"/>
          </w:tblCellMar>
        </w:tblPrEx>
        <w:trPr>
          <w:trHeight w:val="281"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7CDD3D3">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1</w:t>
            </w:r>
          </w:p>
        </w:tc>
        <w:tc>
          <w:tcPr>
            <w:tcW w:w="617" w:type="pct"/>
            <w:tcBorders>
              <w:top w:val="nil"/>
              <w:left w:val="nil"/>
              <w:bottom w:val="single" w:color="auto" w:sz="4" w:space="0"/>
              <w:right w:val="single" w:color="auto" w:sz="4" w:space="0"/>
            </w:tcBorders>
            <w:shd w:val="clear" w:color="auto" w:fill="auto"/>
            <w:noWrap/>
            <w:vAlign w:val="center"/>
          </w:tcPr>
          <w:p w14:paraId="04967DFC">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编程语言工具</w:t>
            </w:r>
          </w:p>
        </w:tc>
        <w:tc>
          <w:tcPr>
            <w:tcW w:w="410" w:type="pct"/>
            <w:tcBorders>
              <w:top w:val="nil"/>
              <w:left w:val="nil"/>
              <w:bottom w:val="single" w:color="auto" w:sz="4" w:space="0"/>
              <w:right w:val="single" w:color="auto" w:sz="4" w:space="0"/>
            </w:tcBorders>
            <w:shd w:val="clear" w:color="auto" w:fill="auto"/>
            <w:noWrap/>
            <w:vAlign w:val="bottom"/>
          </w:tcPr>
          <w:p w14:paraId="0F093E5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1A3EAD1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5161128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03A0EBC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0EA7BC9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329A93A6">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319A0028">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2</w:t>
            </w:r>
          </w:p>
        </w:tc>
        <w:tc>
          <w:tcPr>
            <w:tcW w:w="617" w:type="pct"/>
            <w:tcBorders>
              <w:top w:val="nil"/>
              <w:left w:val="nil"/>
              <w:bottom w:val="single" w:color="auto" w:sz="4" w:space="0"/>
              <w:right w:val="single" w:color="auto" w:sz="4" w:space="0"/>
            </w:tcBorders>
            <w:shd w:val="clear" w:color="auto" w:fill="auto"/>
            <w:noWrap/>
            <w:vAlign w:val="center"/>
          </w:tcPr>
          <w:p w14:paraId="7A078C27">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编译工具</w:t>
            </w:r>
          </w:p>
        </w:tc>
        <w:tc>
          <w:tcPr>
            <w:tcW w:w="410" w:type="pct"/>
            <w:tcBorders>
              <w:top w:val="nil"/>
              <w:left w:val="nil"/>
              <w:bottom w:val="single" w:color="auto" w:sz="4" w:space="0"/>
              <w:right w:val="single" w:color="auto" w:sz="4" w:space="0"/>
            </w:tcBorders>
            <w:shd w:val="clear" w:color="auto" w:fill="auto"/>
            <w:noWrap/>
            <w:vAlign w:val="bottom"/>
          </w:tcPr>
          <w:p w14:paraId="76D53376">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single" w:color="auto" w:sz="4" w:space="0"/>
              <w:right w:val="single" w:color="auto" w:sz="4" w:space="0"/>
            </w:tcBorders>
            <w:shd w:val="clear" w:color="auto" w:fill="auto"/>
            <w:noWrap/>
            <w:vAlign w:val="bottom"/>
          </w:tcPr>
          <w:p w14:paraId="42CAF4A4">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single" w:color="auto" w:sz="4" w:space="0"/>
              <w:right w:val="single" w:color="auto" w:sz="4" w:space="0"/>
            </w:tcBorders>
            <w:shd w:val="clear" w:color="auto" w:fill="auto"/>
            <w:noWrap/>
            <w:vAlign w:val="bottom"/>
          </w:tcPr>
          <w:p w14:paraId="1B4EBF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single" w:color="auto" w:sz="4" w:space="0"/>
              <w:right w:val="single" w:color="auto" w:sz="4" w:space="0"/>
            </w:tcBorders>
            <w:shd w:val="clear" w:color="auto" w:fill="auto"/>
            <w:noWrap/>
            <w:vAlign w:val="bottom"/>
          </w:tcPr>
          <w:p w14:paraId="682E8737">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single" w:color="auto" w:sz="4" w:space="0"/>
              <w:right w:val="single" w:color="auto" w:sz="4" w:space="0"/>
            </w:tcBorders>
            <w:shd w:val="clear" w:color="auto" w:fill="auto"/>
            <w:noWrap/>
            <w:vAlign w:val="bottom"/>
          </w:tcPr>
          <w:p w14:paraId="6584DD1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1E5A80C6">
        <w:tblPrEx>
          <w:tblCellMar>
            <w:top w:w="0" w:type="dxa"/>
            <w:left w:w="108" w:type="dxa"/>
            <w:bottom w:w="0" w:type="dxa"/>
            <w:right w:w="108" w:type="dxa"/>
          </w:tblCellMar>
        </w:tblPrEx>
        <w:trPr>
          <w:trHeight w:val="644" w:hRule="atLeast"/>
        </w:trPr>
        <w:tc>
          <w:tcPr>
            <w:tcW w:w="318" w:type="pct"/>
            <w:tcBorders>
              <w:top w:val="nil"/>
              <w:left w:val="single" w:color="auto" w:sz="4" w:space="0"/>
              <w:bottom w:val="nil"/>
              <w:right w:val="single" w:color="auto" w:sz="4" w:space="0"/>
            </w:tcBorders>
            <w:shd w:val="clear" w:color="auto" w:fill="auto"/>
            <w:noWrap/>
            <w:vAlign w:val="bottom"/>
          </w:tcPr>
          <w:p w14:paraId="5320DE3F">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3</w:t>
            </w:r>
          </w:p>
        </w:tc>
        <w:tc>
          <w:tcPr>
            <w:tcW w:w="617" w:type="pct"/>
            <w:tcBorders>
              <w:top w:val="nil"/>
              <w:left w:val="nil"/>
              <w:bottom w:val="nil"/>
              <w:right w:val="single" w:color="auto" w:sz="4" w:space="0"/>
            </w:tcBorders>
            <w:shd w:val="clear" w:color="auto" w:fill="auto"/>
            <w:noWrap/>
            <w:vAlign w:val="center"/>
          </w:tcPr>
          <w:p w14:paraId="1CA18968">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代码安全审核工具</w:t>
            </w:r>
          </w:p>
        </w:tc>
        <w:tc>
          <w:tcPr>
            <w:tcW w:w="410" w:type="pct"/>
            <w:tcBorders>
              <w:top w:val="nil"/>
              <w:left w:val="nil"/>
              <w:bottom w:val="nil"/>
              <w:right w:val="single" w:color="auto" w:sz="4" w:space="0"/>
            </w:tcBorders>
            <w:shd w:val="clear" w:color="auto" w:fill="auto"/>
            <w:noWrap/>
            <w:vAlign w:val="bottom"/>
          </w:tcPr>
          <w:p w14:paraId="3BC0C748">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92" w:type="pct"/>
            <w:tcBorders>
              <w:top w:val="nil"/>
              <w:left w:val="nil"/>
              <w:bottom w:val="nil"/>
              <w:right w:val="single" w:color="auto" w:sz="4" w:space="0"/>
            </w:tcBorders>
            <w:shd w:val="clear" w:color="auto" w:fill="auto"/>
            <w:noWrap/>
            <w:vAlign w:val="bottom"/>
          </w:tcPr>
          <w:p w14:paraId="272FC120">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360" w:type="pct"/>
            <w:tcBorders>
              <w:top w:val="nil"/>
              <w:left w:val="nil"/>
              <w:bottom w:val="nil"/>
              <w:right w:val="single" w:color="auto" w:sz="4" w:space="0"/>
            </w:tcBorders>
            <w:shd w:val="clear" w:color="auto" w:fill="auto"/>
            <w:noWrap/>
            <w:vAlign w:val="bottom"/>
          </w:tcPr>
          <w:p w14:paraId="242ACADC">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1189" w:type="pct"/>
            <w:tcBorders>
              <w:top w:val="nil"/>
              <w:left w:val="nil"/>
              <w:bottom w:val="nil"/>
              <w:right w:val="single" w:color="auto" w:sz="4" w:space="0"/>
            </w:tcBorders>
            <w:shd w:val="clear" w:color="auto" w:fill="auto"/>
            <w:noWrap/>
            <w:vAlign w:val="bottom"/>
          </w:tcPr>
          <w:p w14:paraId="0662234A">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c>
          <w:tcPr>
            <w:tcW w:w="509" w:type="pct"/>
            <w:tcBorders>
              <w:top w:val="nil"/>
              <w:left w:val="nil"/>
              <w:bottom w:val="nil"/>
              <w:right w:val="single" w:color="auto" w:sz="4" w:space="0"/>
            </w:tcBorders>
            <w:shd w:val="clear" w:color="auto" w:fill="auto"/>
            <w:noWrap/>
            <w:vAlign w:val="bottom"/>
          </w:tcPr>
          <w:p w14:paraId="3E0CB59F">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　</w:t>
            </w:r>
          </w:p>
        </w:tc>
      </w:tr>
      <w:tr w14:paraId="2533C388">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7A0B5575">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4</w:t>
            </w:r>
          </w:p>
        </w:tc>
        <w:tc>
          <w:tcPr>
            <w:tcW w:w="617" w:type="pct"/>
            <w:tcBorders>
              <w:top w:val="nil"/>
              <w:left w:val="nil"/>
              <w:bottom w:val="nil"/>
              <w:right w:val="single" w:color="auto" w:sz="4" w:space="0"/>
            </w:tcBorders>
            <w:shd w:val="clear" w:color="auto" w:fill="auto"/>
            <w:noWrap/>
            <w:vAlign w:val="center"/>
          </w:tcPr>
          <w:p w14:paraId="404CF86E">
            <w:pPr>
              <w:spacing w:line="0" w:lineRule="atLeast"/>
              <w:jc w:val="left"/>
              <w:rPr>
                <w:rFonts w:ascii="微软雅黑" w:hAnsi="微软雅黑" w:eastAsia="微软雅黑" w:cs="Times New Roman"/>
                <w:sz w:val="20"/>
                <w:szCs w:val="22"/>
              </w:rPr>
            </w:pPr>
            <w:r>
              <w:rPr>
                <w:rFonts w:hint="eastAsia" w:ascii="微软雅黑" w:hAnsi="微软雅黑" w:eastAsia="微软雅黑" w:cs="Times New Roman"/>
                <w:sz w:val="20"/>
                <w:szCs w:val="22"/>
              </w:rPr>
              <w:t>管理工具</w:t>
            </w:r>
          </w:p>
        </w:tc>
        <w:tc>
          <w:tcPr>
            <w:tcW w:w="410" w:type="pct"/>
            <w:tcBorders>
              <w:top w:val="nil"/>
              <w:left w:val="nil"/>
              <w:bottom w:val="nil"/>
              <w:right w:val="single" w:color="auto" w:sz="4" w:space="0"/>
            </w:tcBorders>
            <w:shd w:val="clear" w:color="auto" w:fill="auto"/>
            <w:noWrap/>
            <w:vAlign w:val="bottom"/>
          </w:tcPr>
          <w:p w14:paraId="0A34BC68">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561C1FC">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A471C34">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0CE82939">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411B5C00">
            <w:pPr>
              <w:widowControl/>
              <w:spacing w:line="360" w:lineRule="auto"/>
              <w:jc w:val="left"/>
              <w:rPr>
                <w:rFonts w:ascii="等线" w:hAnsi="等线" w:eastAsia="等线" w:cs="宋体"/>
                <w:color w:val="000000"/>
                <w:kern w:val="0"/>
                <w:sz w:val="22"/>
                <w:szCs w:val="22"/>
              </w:rPr>
            </w:pPr>
          </w:p>
        </w:tc>
      </w:tr>
      <w:tr w14:paraId="654D04DE">
        <w:tblPrEx>
          <w:tblCellMar>
            <w:top w:w="0" w:type="dxa"/>
            <w:left w:w="108" w:type="dxa"/>
            <w:bottom w:w="0" w:type="dxa"/>
            <w:right w:w="108" w:type="dxa"/>
          </w:tblCellMar>
        </w:tblPrEx>
        <w:trPr>
          <w:trHeight w:val="280" w:hRule="atLeast"/>
        </w:trPr>
        <w:tc>
          <w:tcPr>
            <w:tcW w:w="318" w:type="pct"/>
            <w:tcBorders>
              <w:top w:val="nil"/>
              <w:left w:val="single" w:color="auto" w:sz="4" w:space="0"/>
              <w:bottom w:val="nil"/>
              <w:right w:val="single" w:color="auto" w:sz="4" w:space="0"/>
            </w:tcBorders>
            <w:shd w:val="clear" w:color="auto" w:fill="auto"/>
            <w:noWrap/>
            <w:vAlign w:val="bottom"/>
          </w:tcPr>
          <w:p w14:paraId="18722B67">
            <w:pPr>
              <w:widowControl/>
              <w:spacing w:line="360" w:lineRule="auto"/>
              <w:jc w:val="center"/>
              <w:rPr>
                <w:rFonts w:ascii="等线" w:hAnsi="等线" w:eastAsia="等线" w:cs="宋体"/>
                <w:color w:val="000000"/>
                <w:kern w:val="0"/>
                <w:sz w:val="22"/>
                <w:szCs w:val="22"/>
              </w:rPr>
            </w:pPr>
            <w:r>
              <w:rPr>
                <w:rFonts w:hint="eastAsia" w:ascii="等线" w:hAnsi="等线" w:eastAsia="等线" w:cs="宋体"/>
                <w:color w:val="000000"/>
                <w:kern w:val="0"/>
                <w:sz w:val="22"/>
                <w:szCs w:val="22"/>
              </w:rPr>
              <w:t>5</w:t>
            </w:r>
          </w:p>
        </w:tc>
        <w:tc>
          <w:tcPr>
            <w:tcW w:w="617" w:type="pct"/>
            <w:tcBorders>
              <w:top w:val="nil"/>
              <w:left w:val="nil"/>
              <w:bottom w:val="nil"/>
              <w:right w:val="single" w:color="auto" w:sz="4" w:space="0"/>
            </w:tcBorders>
            <w:shd w:val="clear" w:color="auto" w:fill="auto"/>
            <w:noWrap/>
            <w:vAlign w:val="center"/>
          </w:tcPr>
          <w:p w14:paraId="0840F14D">
            <w:pPr>
              <w:widowControl/>
              <w:spacing w:line="360" w:lineRule="auto"/>
              <w:jc w:val="left"/>
              <w:rPr>
                <w:rFonts w:ascii="等线" w:hAnsi="等线" w:eastAsia="等线" w:cs="宋体"/>
                <w:color w:val="000000"/>
                <w:kern w:val="0"/>
                <w:sz w:val="22"/>
                <w:szCs w:val="22"/>
              </w:rPr>
            </w:pPr>
            <w:r>
              <w:rPr>
                <w:rFonts w:hint="eastAsia" w:ascii="等线" w:hAnsi="等线" w:eastAsia="等线" w:cs="宋体"/>
                <w:color w:val="000000"/>
                <w:kern w:val="0"/>
                <w:sz w:val="22"/>
                <w:szCs w:val="22"/>
              </w:rPr>
              <w:t>其他…</w:t>
            </w:r>
          </w:p>
        </w:tc>
        <w:tc>
          <w:tcPr>
            <w:tcW w:w="410" w:type="pct"/>
            <w:tcBorders>
              <w:top w:val="nil"/>
              <w:left w:val="nil"/>
              <w:bottom w:val="nil"/>
              <w:right w:val="single" w:color="auto" w:sz="4" w:space="0"/>
            </w:tcBorders>
            <w:shd w:val="clear" w:color="auto" w:fill="auto"/>
            <w:noWrap/>
            <w:vAlign w:val="bottom"/>
          </w:tcPr>
          <w:p w14:paraId="6B95AE52">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nil"/>
              <w:right w:val="single" w:color="auto" w:sz="4" w:space="0"/>
            </w:tcBorders>
            <w:shd w:val="clear" w:color="auto" w:fill="auto"/>
            <w:noWrap/>
            <w:vAlign w:val="bottom"/>
          </w:tcPr>
          <w:p w14:paraId="087EF13A">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nil"/>
              <w:right w:val="single" w:color="auto" w:sz="4" w:space="0"/>
            </w:tcBorders>
            <w:shd w:val="clear" w:color="auto" w:fill="auto"/>
            <w:noWrap/>
            <w:vAlign w:val="bottom"/>
          </w:tcPr>
          <w:p w14:paraId="68D28249">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nil"/>
              <w:right w:val="single" w:color="auto" w:sz="4" w:space="0"/>
            </w:tcBorders>
            <w:shd w:val="clear" w:color="auto" w:fill="auto"/>
            <w:noWrap/>
            <w:vAlign w:val="bottom"/>
          </w:tcPr>
          <w:p w14:paraId="6BD5FDAB">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nil"/>
              <w:right w:val="single" w:color="auto" w:sz="4" w:space="0"/>
            </w:tcBorders>
            <w:shd w:val="clear" w:color="auto" w:fill="auto"/>
            <w:noWrap/>
            <w:vAlign w:val="bottom"/>
          </w:tcPr>
          <w:p w14:paraId="3D3D4BC9">
            <w:pPr>
              <w:widowControl/>
              <w:spacing w:line="360" w:lineRule="auto"/>
              <w:jc w:val="left"/>
              <w:rPr>
                <w:rFonts w:ascii="等线" w:hAnsi="等线" w:eastAsia="等线" w:cs="宋体"/>
                <w:color w:val="000000"/>
                <w:kern w:val="0"/>
                <w:sz w:val="22"/>
                <w:szCs w:val="22"/>
              </w:rPr>
            </w:pPr>
          </w:p>
        </w:tc>
      </w:tr>
      <w:tr w14:paraId="74F41A4E">
        <w:tblPrEx>
          <w:tblCellMar>
            <w:top w:w="0" w:type="dxa"/>
            <w:left w:w="108" w:type="dxa"/>
            <w:bottom w:w="0" w:type="dxa"/>
            <w:right w:w="108" w:type="dxa"/>
          </w:tblCellMar>
        </w:tblPrEx>
        <w:trPr>
          <w:trHeight w:val="280" w:hRule="atLeast"/>
        </w:trPr>
        <w:tc>
          <w:tcPr>
            <w:tcW w:w="318" w:type="pct"/>
            <w:tcBorders>
              <w:top w:val="nil"/>
              <w:left w:val="single" w:color="auto" w:sz="4" w:space="0"/>
              <w:bottom w:val="single" w:color="auto" w:sz="4" w:space="0"/>
              <w:right w:val="single" w:color="auto" w:sz="4" w:space="0"/>
            </w:tcBorders>
            <w:shd w:val="clear" w:color="auto" w:fill="auto"/>
            <w:noWrap/>
            <w:vAlign w:val="bottom"/>
          </w:tcPr>
          <w:p w14:paraId="2C2D6823">
            <w:pPr>
              <w:widowControl/>
              <w:spacing w:line="360" w:lineRule="auto"/>
              <w:jc w:val="center"/>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617" w:type="pct"/>
            <w:tcBorders>
              <w:top w:val="nil"/>
              <w:left w:val="nil"/>
              <w:bottom w:val="single" w:color="auto" w:sz="4" w:space="0"/>
              <w:right w:val="single" w:color="auto" w:sz="4" w:space="0"/>
            </w:tcBorders>
            <w:shd w:val="clear" w:color="auto" w:fill="auto"/>
            <w:noWrap/>
            <w:vAlign w:val="center"/>
          </w:tcPr>
          <w:p w14:paraId="7FC232D3">
            <w:pPr>
              <w:widowControl/>
              <w:spacing w:line="360" w:lineRule="auto"/>
              <w:jc w:val="left"/>
              <w:rPr>
                <w:rFonts w:ascii="等线" w:hAnsi="等线" w:eastAsia="等线" w:cs="宋体"/>
                <w:color w:val="000000"/>
                <w:kern w:val="0"/>
                <w:sz w:val="22"/>
                <w:szCs w:val="22"/>
              </w:rPr>
            </w:pPr>
          </w:p>
        </w:tc>
        <w:tc>
          <w:tcPr>
            <w:tcW w:w="410" w:type="pct"/>
            <w:tcBorders>
              <w:top w:val="nil"/>
              <w:left w:val="nil"/>
              <w:bottom w:val="single" w:color="auto" w:sz="4" w:space="0"/>
              <w:right w:val="single" w:color="auto" w:sz="4" w:space="0"/>
            </w:tcBorders>
            <w:shd w:val="clear" w:color="auto" w:fill="auto"/>
            <w:noWrap/>
            <w:vAlign w:val="bottom"/>
          </w:tcPr>
          <w:p w14:paraId="6F3AEA39">
            <w:pPr>
              <w:widowControl/>
              <w:spacing w:line="360" w:lineRule="auto"/>
              <w:jc w:val="left"/>
              <w:rPr>
                <w:rFonts w:ascii="等线" w:hAnsi="等线" w:eastAsia="等线" w:cs="宋体"/>
                <w:color w:val="000000"/>
                <w:kern w:val="0"/>
                <w:sz w:val="22"/>
                <w:szCs w:val="22"/>
              </w:rPr>
            </w:pPr>
          </w:p>
        </w:tc>
        <w:tc>
          <w:tcPr>
            <w:tcW w:w="592" w:type="pct"/>
            <w:tcBorders>
              <w:top w:val="nil"/>
              <w:left w:val="nil"/>
              <w:bottom w:val="single" w:color="auto" w:sz="4" w:space="0"/>
              <w:right w:val="single" w:color="auto" w:sz="4" w:space="0"/>
            </w:tcBorders>
            <w:shd w:val="clear" w:color="auto" w:fill="auto"/>
            <w:noWrap/>
            <w:vAlign w:val="bottom"/>
          </w:tcPr>
          <w:p w14:paraId="14FC7ABF">
            <w:pPr>
              <w:widowControl/>
              <w:spacing w:line="360" w:lineRule="auto"/>
              <w:jc w:val="left"/>
              <w:rPr>
                <w:rFonts w:ascii="等线" w:hAnsi="等线" w:eastAsia="等线" w:cs="宋体"/>
                <w:color w:val="000000"/>
                <w:kern w:val="0"/>
                <w:sz w:val="22"/>
                <w:szCs w:val="22"/>
              </w:rPr>
            </w:pPr>
          </w:p>
        </w:tc>
        <w:tc>
          <w:tcPr>
            <w:tcW w:w="1360" w:type="pct"/>
            <w:tcBorders>
              <w:top w:val="nil"/>
              <w:left w:val="nil"/>
              <w:bottom w:val="single" w:color="auto" w:sz="4" w:space="0"/>
              <w:right w:val="single" w:color="auto" w:sz="4" w:space="0"/>
            </w:tcBorders>
            <w:shd w:val="clear" w:color="auto" w:fill="auto"/>
            <w:noWrap/>
            <w:vAlign w:val="bottom"/>
          </w:tcPr>
          <w:p w14:paraId="68943693">
            <w:pPr>
              <w:widowControl/>
              <w:spacing w:line="360" w:lineRule="auto"/>
              <w:jc w:val="left"/>
              <w:rPr>
                <w:rFonts w:ascii="等线" w:hAnsi="等线" w:eastAsia="等线" w:cs="宋体"/>
                <w:color w:val="000000"/>
                <w:kern w:val="0"/>
                <w:sz w:val="22"/>
                <w:szCs w:val="22"/>
              </w:rPr>
            </w:pPr>
          </w:p>
        </w:tc>
        <w:tc>
          <w:tcPr>
            <w:tcW w:w="1189" w:type="pct"/>
            <w:tcBorders>
              <w:top w:val="nil"/>
              <w:left w:val="nil"/>
              <w:bottom w:val="single" w:color="auto" w:sz="4" w:space="0"/>
              <w:right w:val="single" w:color="auto" w:sz="4" w:space="0"/>
            </w:tcBorders>
            <w:shd w:val="clear" w:color="auto" w:fill="auto"/>
            <w:noWrap/>
            <w:vAlign w:val="bottom"/>
          </w:tcPr>
          <w:p w14:paraId="301116C8">
            <w:pPr>
              <w:widowControl/>
              <w:spacing w:line="360" w:lineRule="auto"/>
              <w:jc w:val="left"/>
              <w:rPr>
                <w:rFonts w:ascii="等线" w:hAnsi="等线" w:eastAsia="等线" w:cs="宋体"/>
                <w:color w:val="000000"/>
                <w:kern w:val="0"/>
                <w:sz w:val="22"/>
                <w:szCs w:val="22"/>
              </w:rPr>
            </w:pPr>
          </w:p>
        </w:tc>
        <w:tc>
          <w:tcPr>
            <w:tcW w:w="509" w:type="pct"/>
            <w:tcBorders>
              <w:top w:val="nil"/>
              <w:left w:val="nil"/>
              <w:bottom w:val="single" w:color="auto" w:sz="4" w:space="0"/>
              <w:right w:val="single" w:color="auto" w:sz="4" w:space="0"/>
            </w:tcBorders>
            <w:shd w:val="clear" w:color="auto" w:fill="auto"/>
            <w:noWrap/>
            <w:vAlign w:val="bottom"/>
          </w:tcPr>
          <w:p w14:paraId="519B9DBE">
            <w:pPr>
              <w:widowControl/>
              <w:spacing w:line="360" w:lineRule="auto"/>
              <w:jc w:val="left"/>
              <w:rPr>
                <w:rFonts w:ascii="等线" w:hAnsi="等线" w:eastAsia="等线" w:cs="宋体"/>
                <w:color w:val="000000"/>
                <w:kern w:val="0"/>
                <w:sz w:val="22"/>
                <w:szCs w:val="22"/>
              </w:rPr>
            </w:pPr>
          </w:p>
        </w:tc>
      </w:tr>
    </w:tbl>
    <w:p w14:paraId="169FCC4D">
      <w:pPr>
        <w:spacing w:line="360" w:lineRule="auto"/>
        <w:jc w:val="left"/>
        <w:rPr>
          <w:rFonts w:ascii="微软雅黑" w:hAnsi="微软雅黑" w:eastAsia="微软雅黑" w:cs="Times New Roman"/>
          <w:i/>
          <w:sz w:val="20"/>
          <w:szCs w:val="22"/>
        </w:rPr>
      </w:pPr>
    </w:p>
    <w:p w14:paraId="12F4434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33" w:name="_Toc1157"/>
      <w:bookmarkStart w:id="2234" w:name="_Toc13185"/>
      <w:bookmarkStart w:id="2235" w:name="_Toc18802"/>
      <w:bookmarkStart w:id="2236" w:name="_Toc23836"/>
      <w:bookmarkStart w:id="2237" w:name="_Toc30582"/>
      <w:bookmarkStart w:id="2238" w:name="_Toc22526"/>
      <w:bookmarkStart w:id="2239" w:name="_Toc2910"/>
      <w:bookmarkStart w:id="2240" w:name="_Toc23106"/>
      <w:bookmarkStart w:id="2241" w:name="_Toc12908"/>
      <w:bookmarkStart w:id="2242" w:name="_Toc9776"/>
      <w:r>
        <w:rPr>
          <w:rFonts w:hint="eastAsia" w:ascii="等线" w:hAnsi="等线" w:eastAsia="等线" w:cs="Times New Roman"/>
          <w:b/>
          <w:kern w:val="2"/>
          <w:sz w:val="24"/>
          <w:szCs w:val="24"/>
          <w:lang w:val="en-US" w:eastAsia="zh-CN" w:bidi="ar-SA"/>
        </w:rPr>
        <w:t>2.2 第三方软件类</w:t>
      </w:r>
      <w:bookmarkEnd w:id="2233"/>
      <w:bookmarkEnd w:id="2234"/>
      <w:bookmarkEnd w:id="2235"/>
      <w:bookmarkEnd w:id="2236"/>
      <w:bookmarkEnd w:id="2237"/>
      <w:bookmarkEnd w:id="2238"/>
      <w:bookmarkEnd w:id="2239"/>
      <w:bookmarkEnd w:id="2240"/>
      <w:bookmarkEnd w:id="2241"/>
      <w:bookmarkEnd w:id="2242"/>
    </w:p>
    <w:p w14:paraId="736C1014">
      <w:pPr>
        <w:spacing w:line="360" w:lineRule="auto"/>
        <w:jc w:val="left"/>
        <w:rPr>
          <w:rFonts w:ascii="微软雅黑" w:hAnsi="微软雅黑" w:eastAsia="微软雅黑" w:cs="Times New Roman"/>
          <w:iCs/>
          <w:sz w:val="24"/>
          <w:szCs w:val="22"/>
        </w:rPr>
      </w:pPr>
      <w:r>
        <w:rPr>
          <w:rFonts w:hint="eastAsia" w:ascii="微软雅黑" w:hAnsi="微软雅黑" w:eastAsia="微软雅黑" w:cs="Times New Roman"/>
          <w:iCs/>
          <w:sz w:val="20"/>
          <w:szCs w:val="22"/>
        </w:rPr>
        <w:t>第三方软件类是指软件中应用的第三方软件，包括数据库、中间件等。</w:t>
      </w:r>
    </w:p>
    <w:tbl>
      <w:tblPr>
        <w:tblStyle w:val="39"/>
        <w:tblW w:w="8522" w:type="dxa"/>
        <w:tblInd w:w="0" w:type="dxa"/>
        <w:tblLayout w:type="fixed"/>
        <w:tblCellMar>
          <w:top w:w="0" w:type="dxa"/>
          <w:left w:w="108" w:type="dxa"/>
          <w:bottom w:w="0" w:type="dxa"/>
          <w:right w:w="108" w:type="dxa"/>
        </w:tblCellMar>
      </w:tblPr>
      <w:tblGrid>
        <w:gridCol w:w="665"/>
        <w:gridCol w:w="1173"/>
        <w:gridCol w:w="1183"/>
        <w:gridCol w:w="770"/>
        <w:gridCol w:w="2362"/>
        <w:gridCol w:w="1639"/>
        <w:gridCol w:w="730"/>
      </w:tblGrid>
      <w:tr w14:paraId="68CFBA09">
        <w:tblPrEx>
          <w:tblCellMar>
            <w:top w:w="0" w:type="dxa"/>
            <w:left w:w="108" w:type="dxa"/>
            <w:bottom w:w="0" w:type="dxa"/>
            <w:right w:w="108" w:type="dxa"/>
          </w:tblCellMar>
        </w:tblPrEx>
        <w:trPr>
          <w:trHeight w:val="330" w:hRule="atLeast"/>
        </w:trPr>
        <w:tc>
          <w:tcPr>
            <w:tcW w:w="66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BFDCEE7">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1173" w:type="dxa"/>
            <w:tcBorders>
              <w:top w:val="single" w:color="auto" w:sz="4" w:space="0"/>
              <w:left w:val="nil"/>
              <w:bottom w:val="single" w:color="auto" w:sz="4" w:space="0"/>
              <w:right w:val="single" w:color="auto" w:sz="4" w:space="0"/>
            </w:tcBorders>
            <w:shd w:val="clear" w:color="auto" w:fill="auto"/>
            <w:noWrap/>
            <w:vAlign w:val="bottom"/>
          </w:tcPr>
          <w:p w14:paraId="183284E5">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软件类别</w:t>
            </w:r>
          </w:p>
        </w:tc>
        <w:tc>
          <w:tcPr>
            <w:tcW w:w="1183" w:type="dxa"/>
            <w:tcBorders>
              <w:top w:val="single" w:color="auto" w:sz="4" w:space="0"/>
              <w:left w:val="nil"/>
              <w:bottom w:val="single" w:color="auto" w:sz="4" w:space="0"/>
              <w:right w:val="single" w:color="auto" w:sz="4" w:space="0"/>
            </w:tcBorders>
            <w:shd w:val="clear" w:color="auto" w:fill="auto"/>
            <w:noWrap/>
            <w:vAlign w:val="bottom"/>
          </w:tcPr>
          <w:p w14:paraId="7D32D9C2">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名称</w:t>
            </w:r>
          </w:p>
        </w:tc>
        <w:tc>
          <w:tcPr>
            <w:tcW w:w="770" w:type="dxa"/>
            <w:tcBorders>
              <w:top w:val="single" w:color="auto" w:sz="4" w:space="0"/>
              <w:left w:val="nil"/>
              <w:bottom w:val="single" w:color="auto" w:sz="4" w:space="0"/>
              <w:right w:val="single" w:color="auto" w:sz="4" w:space="0"/>
            </w:tcBorders>
            <w:shd w:val="clear" w:color="auto" w:fill="auto"/>
            <w:noWrap/>
            <w:vAlign w:val="bottom"/>
          </w:tcPr>
          <w:p w14:paraId="7C25E701">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版本</w:t>
            </w:r>
          </w:p>
        </w:tc>
        <w:tc>
          <w:tcPr>
            <w:tcW w:w="2362" w:type="dxa"/>
            <w:tcBorders>
              <w:top w:val="single" w:color="auto" w:sz="4" w:space="0"/>
              <w:left w:val="nil"/>
              <w:bottom w:val="single" w:color="auto" w:sz="4" w:space="0"/>
              <w:right w:val="single" w:color="auto" w:sz="4" w:space="0"/>
            </w:tcBorders>
            <w:shd w:val="clear" w:color="auto" w:fill="auto"/>
            <w:noWrap/>
            <w:vAlign w:val="bottom"/>
          </w:tcPr>
          <w:p w14:paraId="18B85D78">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来源</w:t>
            </w:r>
          </w:p>
        </w:tc>
        <w:tc>
          <w:tcPr>
            <w:tcW w:w="1639" w:type="dxa"/>
            <w:tcBorders>
              <w:top w:val="single" w:color="auto" w:sz="4" w:space="0"/>
              <w:left w:val="nil"/>
              <w:bottom w:val="single" w:color="auto" w:sz="4" w:space="0"/>
              <w:right w:val="single" w:color="auto" w:sz="4" w:space="0"/>
            </w:tcBorders>
            <w:shd w:val="clear" w:color="auto" w:fill="auto"/>
            <w:noWrap/>
            <w:vAlign w:val="bottom"/>
          </w:tcPr>
          <w:p w14:paraId="3495CC6C">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授权信息</w:t>
            </w:r>
          </w:p>
        </w:tc>
        <w:tc>
          <w:tcPr>
            <w:tcW w:w="730" w:type="dxa"/>
            <w:tcBorders>
              <w:top w:val="single" w:color="auto" w:sz="4" w:space="0"/>
              <w:left w:val="nil"/>
              <w:bottom w:val="single" w:color="auto" w:sz="4" w:space="0"/>
              <w:right w:val="single" w:color="auto" w:sz="4" w:space="0"/>
            </w:tcBorders>
            <w:shd w:val="clear" w:color="auto" w:fill="auto"/>
            <w:noWrap/>
            <w:vAlign w:val="bottom"/>
          </w:tcPr>
          <w:p w14:paraId="2E32255F">
            <w:pPr>
              <w:spacing w:line="360" w:lineRule="auto"/>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其他</w:t>
            </w:r>
          </w:p>
        </w:tc>
      </w:tr>
      <w:tr w14:paraId="372A455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0C54CA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r>
              <w:rPr>
                <w:rFonts w:ascii="微软雅黑" w:hAnsi="微软雅黑" w:eastAsia="微软雅黑" w:cs="Times New Roman"/>
                <w:i/>
                <w:color w:val="5B9BD5"/>
                <w:sz w:val="20"/>
                <w:szCs w:val="22"/>
              </w:rPr>
              <w:t>1</w:t>
            </w:r>
          </w:p>
        </w:tc>
        <w:tc>
          <w:tcPr>
            <w:tcW w:w="1173" w:type="dxa"/>
            <w:tcBorders>
              <w:top w:val="nil"/>
              <w:left w:val="nil"/>
              <w:bottom w:val="single" w:color="auto" w:sz="4" w:space="0"/>
              <w:right w:val="single" w:color="auto" w:sz="4" w:space="0"/>
            </w:tcBorders>
            <w:shd w:val="clear" w:color="auto" w:fill="auto"/>
            <w:noWrap/>
            <w:vAlign w:val="center"/>
          </w:tcPr>
          <w:p w14:paraId="26A029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中间件</w:t>
            </w:r>
          </w:p>
        </w:tc>
        <w:tc>
          <w:tcPr>
            <w:tcW w:w="1183" w:type="dxa"/>
            <w:tcBorders>
              <w:top w:val="nil"/>
              <w:left w:val="nil"/>
              <w:bottom w:val="single" w:color="auto" w:sz="4" w:space="0"/>
              <w:right w:val="single" w:color="auto" w:sz="4" w:space="0"/>
            </w:tcBorders>
            <w:shd w:val="clear" w:color="auto" w:fill="auto"/>
            <w:noWrap/>
            <w:vAlign w:val="center"/>
          </w:tcPr>
          <w:p w14:paraId="5B317A49">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Apache kafka</w:t>
            </w:r>
          </w:p>
        </w:tc>
        <w:tc>
          <w:tcPr>
            <w:tcW w:w="770" w:type="dxa"/>
            <w:tcBorders>
              <w:top w:val="nil"/>
              <w:left w:val="nil"/>
              <w:bottom w:val="single" w:color="auto" w:sz="4" w:space="0"/>
              <w:right w:val="single" w:color="auto" w:sz="4" w:space="0"/>
            </w:tcBorders>
            <w:shd w:val="clear" w:color="auto" w:fill="auto"/>
            <w:noWrap/>
            <w:vAlign w:val="center"/>
          </w:tcPr>
          <w:p w14:paraId="58AA3DA3">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3.7.0</w:t>
            </w:r>
          </w:p>
        </w:tc>
        <w:tc>
          <w:tcPr>
            <w:tcW w:w="2362" w:type="dxa"/>
            <w:tcBorders>
              <w:top w:val="nil"/>
              <w:left w:val="nil"/>
              <w:bottom w:val="single" w:color="auto" w:sz="4" w:space="0"/>
              <w:right w:val="single" w:color="auto" w:sz="4" w:space="0"/>
            </w:tcBorders>
            <w:shd w:val="clear" w:color="auto" w:fill="auto"/>
            <w:noWrap/>
            <w:vAlign w:val="center"/>
          </w:tcPr>
          <w:p w14:paraId="12B6B8B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官网下载，下载链接：</w:t>
            </w:r>
            <w:r>
              <w:rPr>
                <w:rFonts w:ascii="微软雅黑" w:hAnsi="微软雅黑" w:eastAsia="微软雅黑" w:cs="Times New Roman"/>
                <w:i/>
                <w:color w:val="5B9BD5"/>
                <w:sz w:val="20"/>
                <w:szCs w:val="22"/>
              </w:rPr>
              <w:t>https://kafka.apache.org/downloads</w:t>
            </w:r>
          </w:p>
        </w:tc>
        <w:tc>
          <w:tcPr>
            <w:tcW w:w="1639" w:type="dxa"/>
            <w:tcBorders>
              <w:top w:val="nil"/>
              <w:left w:val="nil"/>
              <w:bottom w:val="single" w:color="auto" w:sz="4" w:space="0"/>
              <w:right w:val="single" w:color="auto" w:sz="4" w:space="0"/>
            </w:tcBorders>
            <w:shd w:val="clear" w:color="auto" w:fill="auto"/>
            <w:noWrap/>
            <w:vAlign w:val="center"/>
          </w:tcPr>
          <w:p w14:paraId="2DF2C7EA">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Apache License, Version 2.0</w:t>
            </w:r>
            <w:r>
              <w:rPr>
                <w:rFonts w:hint="eastAsia" w:ascii="微软雅黑" w:hAnsi="微软雅黑" w:eastAsia="微软雅黑" w:cs="Times New Roman"/>
                <w:i/>
                <w:color w:val="5B9BD5"/>
                <w:sz w:val="20"/>
                <w:szCs w:val="22"/>
              </w:rPr>
              <w:t>许可证授权</w:t>
            </w:r>
          </w:p>
        </w:tc>
        <w:tc>
          <w:tcPr>
            <w:tcW w:w="730" w:type="dxa"/>
            <w:tcBorders>
              <w:top w:val="nil"/>
              <w:left w:val="nil"/>
              <w:bottom w:val="single" w:color="auto" w:sz="4" w:space="0"/>
              <w:right w:val="single" w:color="auto" w:sz="4" w:space="0"/>
            </w:tcBorders>
            <w:shd w:val="clear" w:color="auto" w:fill="auto"/>
            <w:noWrap/>
            <w:vAlign w:val="bottom"/>
          </w:tcPr>
          <w:p w14:paraId="233E4557">
            <w:pPr>
              <w:widowControl/>
              <w:spacing w:line="360" w:lineRule="auto"/>
              <w:jc w:val="left"/>
              <w:rPr>
                <w:rFonts w:ascii="等线" w:hAnsi="等线" w:eastAsia="等线" w:cs="宋体"/>
                <w:color w:val="000000"/>
                <w:kern w:val="0"/>
                <w:sz w:val="22"/>
                <w:szCs w:val="22"/>
              </w:rPr>
            </w:pPr>
          </w:p>
        </w:tc>
      </w:tr>
      <w:tr w14:paraId="0AFA3AF7">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center"/>
          </w:tcPr>
          <w:p w14:paraId="68492541">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示例2</w:t>
            </w:r>
          </w:p>
        </w:tc>
        <w:tc>
          <w:tcPr>
            <w:tcW w:w="1173" w:type="dxa"/>
            <w:tcBorders>
              <w:top w:val="nil"/>
              <w:left w:val="nil"/>
              <w:bottom w:val="single" w:color="auto" w:sz="4" w:space="0"/>
              <w:right w:val="single" w:color="auto" w:sz="4" w:space="0"/>
            </w:tcBorders>
            <w:shd w:val="clear" w:color="auto" w:fill="auto"/>
            <w:noWrap/>
            <w:vAlign w:val="center"/>
          </w:tcPr>
          <w:p w14:paraId="4230BC43">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数据库</w:t>
            </w:r>
          </w:p>
        </w:tc>
        <w:tc>
          <w:tcPr>
            <w:tcW w:w="1183" w:type="dxa"/>
            <w:tcBorders>
              <w:top w:val="nil"/>
              <w:left w:val="nil"/>
              <w:bottom w:val="single" w:color="auto" w:sz="4" w:space="0"/>
              <w:right w:val="single" w:color="auto" w:sz="4" w:space="0"/>
            </w:tcBorders>
            <w:shd w:val="clear" w:color="auto" w:fill="auto"/>
            <w:noWrap/>
            <w:vAlign w:val="center"/>
          </w:tcPr>
          <w:p w14:paraId="11E7CD74">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SQLite</w:t>
            </w:r>
          </w:p>
        </w:tc>
        <w:tc>
          <w:tcPr>
            <w:tcW w:w="770" w:type="dxa"/>
            <w:tcBorders>
              <w:top w:val="nil"/>
              <w:left w:val="nil"/>
              <w:bottom w:val="single" w:color="auto" w:sz="4" w:space="0"/>
              <w:right w:val="single" w:color="auto" w:sz="4" w:space="0"/>
            </w:tcBorders>
            <w:shd w:val="clear" w:color="auto" w:fill="auto"/>
            <w:noWrap/>
            <w:vAlign w:val="center"/>
          </w:tcPr>
          <w:p w14:paraId="5CF41B8C">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3.38</w:t>
            </w:r>
          </w:p>
        </w:tc>
        <w:tc>
          <w:tcPr>
            <w:tcW w:w="2362" w:type="dxa"/>
            <w:tcBorders>
              <w:top w:val="nil"/>
              <w:left w:val="nil"/>
              <w:bottom w:val="single" w:color="auto" w:sz="4" w:space="0"/>
              <w:right w:val="single" w:color="auto" w:sz="4" w:space="0"/>
            </w:tcBorders>
            <w:shd w:val="clear" w:color="auto" w:fill="auto"/>
            <w:noWrap/>
            <w:vAlign w:val="center"/>
          </w:tcPr>
          <w:p w14:paraId="0A10F810">
            <w:pPr>
              <w:spacing w:line="0" w:lineRule="atLeast"/>
              <w:jc w:val="left"/>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开源</w:t>
            </w:r>
            <w:r>
              <w:rPr>
                <w:rFonts w:ascii="微软雅黑" w:hAnsi="微软雅黑" w:eastAsia="微软雅黑" w:cs="Times New Roman"/>
                <w:i/>
                <w:color w:val="5B9BD5"/>
                <w:sz w:val="20"/>
                <w:szCs w:val="22"/>
              </w:rPr>
              <w:t>-</w:t>
            </w:r>
            <w:r>
              <w:rPr>
                <w:rFonts w:ascii="等线" w:hAnsi="等线" w:eastAsia="等线" w:cs="Times New Roman"/>
                <w:szCs w:val="22"/>
              </w:rPr>
              <w:fldChar w:fldCharType="begin"/>
            </w:r>
            <w:r>
              <w:rPr>
                <w:rFonts w:ascii="等线" w:hAnsi="等线" w:eastAsia="等线" w:cs="Times New Roman"/>
                <w:szCs w:val="22"/>
              </w:rPr>
              <w:instrText xml:space="preserve"> HYPERLINK "https://www.sqlite.org/download.html" \t "_blank" </w:instrText>
            </w:r>
            <w:r>
              <w:rPr>
                <w:rFonts w:ascii="等线" w:hAnsi="等线" w:eastAsia="等线" w:cs="Times New Roman"/>
                <w:szCs w:val="22"/>
              </w:rPr>
              <w:fldChar w:fldCharType="separate"/>
            </w:r>
            <w:r>
              <w:rPr>
                <w:rFonts w:ascii="微软雅黑" w:hAnsi="微软雅黑" w:eastAsia="微软雅黑" w:cs="Times New Roman"/>
                <w:i/>
                <w:color w:val="5B9BD5"/>
                <w:sz w:val="20"/>
                <w:szCs w:val="22"/>
              </w:rPr>
              <w:t>https://www.sqlite.org/download.html</w:t>
            </w:r>
            <w:r>
              <w:rPr>
                <w:rFonts w:ascii="微软雅黑" w:hAnsi="微软雅黑" w:eastAsia="微软雅黑" w:cs="Times New Roman"/>
                <w:i/>
                <w:color w:val="5B9BD5"/>
                <w:sz w:val="20"/>
                <w:szCs w:val="22"/>
              </w:rPr>
              <w:fldChar w:fldCharType="end"/>
            </w:r>
          </w:p>
        </w:tc>
        <w:tc>
          <w:tcPr>
            <w:tcW w:w="1639" w:type="dxa"/>
            <w:tcBorders>
              <w:top w:val="nil"/>
              <w:left w:val="nil"/>
              <w:bottom w:val="single" w:color="auto" w:sz="4" w:space="0"/>
              <w:right w:val="single" w:color="auto" w:sz="4" w:space="0"/>
            </w:tcBorders>
            <w:shd w:val="clear" w:color="auto" w:fill="auto"/>
            <w:noWrap/>
            <w:vAlign w:val="center"/>
          </w:tcPr>
          <w:p w14:paraId="019F85E8">
            <w:pPr>
              <w:spacing w:line="0" w:lineRule="atLeast"/>
              <w:jc w:val="left"/>
              <w:rPr>
                <w:rFonts w:ascii="微软雅黑" w:hAnsi="微软雅黑" w:eastAsia="微软雅黑" w:cs="Times New Roman"/>
                <w:i/>
                <w:color w:val="5B9BD5"/>
                <w:sz w:val="20"/>
                <w:szCs w:val="22"/>
              </w:rPr>
            </w:pPr>
            <w:r>
              <w:rPr>
                <w:rFonts w:ascii="微软雅黑" w:hAnsi="微软雅黑" w:eastAsia="微软雅黑" w:cs="Times New Roman"/>
                <w:i/>
                <w:color w:val="5B9BD5"/>
                <w:sz w:val="20"/>
                <w:szCs w:val="22"/>
              </w:rPr>
              <w:t>BSD</w:t>
            </w:r>
            <w:r>
              <w:rPr>
                <w:rFonts w:hint="eastAsia" w:ascii="微软雅黑" w:hAnsi="微软雅黑" w:eastAsia="微软雅黑" w:cs="Times New Roman"/>
                <w:i/>
                <w:color w:val="5B9BD5"/>
                <w:sz w:val="20"/>
                <w:szCs w:val="22"/>
              </w:rPr>
              <w:t>（</w:t>
            </w:r>
            <w:r>
              <w:rPr>
                <w:rFonts w:ascii="微软雅黑" w:hAnsi="微软雅黑" w:eastAsia="微软雅黑" w:cs="Times New Roman"/>
                <w:i/>
                <w:color w:val="5B9BD5"/>
                <w:sz w:val="20"/>
                <w:szCs w:val="22"/>
              </w:rPr>
              <w:t>SQLite 所采用的开源许可证类型</w:t>
            </w:r>
            <w:r>
              <w:rPr>
                <w:rFonts w:hint="eastAsia" w:ascii="微软雅黑" w:hAnsi="微软雅黑" w:eastAsia="微软雅黑" w:cs="Times New Roman"/>
                <w:i/>
                <w:color w:val="5B9BD5"/>
                <w:sz w:val="20"/>
                <w:szCs w:val="22"/>
              </w:rPr>
              <w:t>）</w:t>
            </w:r>
          </w:p>
        </w:tc>
        <w:tc>
          <w:tcPr>
            <w:tcW w:w="730" w:type="dxa"/>
            <w:tcBorders>
              <w:top w:val="nil"/>
              <w:left w:val="nil"/>
              <w:bottom w:val="single" w:color="auto" w:sz="4" w:space="0"/>
              <w:right w:val="single" w:color="auto" w:sz="4" w:space="0"/>
            </w:tcBorders>
            <w:shd w:val="clear" w:color="auto" w:fill="auto"/>
            <w:noWrap/>
            <w:vAlign w:val="bottom"/>
          </w:tcPr>
          <w:p w14:paraId="07768707">
            <w:pPr>
              <w:widowControl/>
              <w:spacing w:line="360" w:lineRule="auto"/>
              <w:jc w:val="left"/>
              <w:rPr>
                <w:rFonts w:ascii="等线" w:hAnsi="等线" w:eastAsia="等线" w:cs="宋体"/>
                <w:color w:val="000000"/>
                <w:kern w:val="0"/>
                <w:sz w:val="22"/>
                <w:szCs w:val="22"/>
              </w:rPr>
            </w:pPr>
          </w:p>
        </w:tc>
      </w:tr>
      <w:tr w14:paraId="5D55098D">
        <w:tblPrEx>
          <w:tblCellMar>
            <w:top w:w="0" w:type="dxa"/>
            <w:left w:w="108" w:type="dxa"/>
            <w:bottom w:w="0" w:type="dxa"/>
            <w:right w:w="108" w:type="dxa"/>
          </w:tblCellMar>
        </w:tblPrEx>
        <w:trPr>
          <w:trHeight w:val="281"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6D2B8EA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1</w:t>
            </w:r>
          </w:p>
        </w:tc>
        <w:tc>
          <w:tcPr>
            <w:tcW w:w="1173" w:type="dxa"/>
            <w:tcBorders>
              <w:top w:val="nil"/>
              <w:left w:val="nil"/>
              <w:bottom w:val="single" w:color="auto" w:sz="4" w:space="0"/>
              <w:right w:val="single" w:color="auto" w:sz="4" w:space="0"/>
            </w:tcBorders>
            <w:shd w:val="clear" w:color="auto" w:fill="auto"/>
            <w:noWrap/>
            <w:vAlign w:val="bottom"/>
          </w:tcPr>
          <w:p w14:paraId="718DB13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数据库</w:t>
            </w:r>
          </w:p>
        </w:tc>
        <w:tc>
          <w:tcPr>
            <w:tcW w:w="1183" w:type="dxa"/>
            <w:tcBorders>
              <w:top w:val="nil"/>
              <w:left w:val="nil"/>
              <w:bottom w:val="single" w:color="auto" w:sz="4" w:space="0"/>
              <w:right w:val="single" w:color="auto" w:sz="4" w:space="0"/>
            </w:tcBorders>
            <w:shd w:val="clear" w:color="auto" w:fill="auto"/>
            <w:noWrap/>
            <w:vAlign w:val="bottom"/>
          </w:tcPr>
          <w:p w14:paraId="78E2397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01841D4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76B6176A">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630B2C4D">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1CD1A4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7867D7F5">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03A7D508">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2</w:t>
            </w:r>
          </w:p>
        </w:tc>
        <w:tc>
          <w:tcPr>
            <w:tcW w:w="1173" w:type="dxa"/>
            <w:tcBorders>
              <w:top w:val="nil"/>
              <w:left w:val="nil"/>
              <w:bottom w:val="single" w:color="auto" w:sz="4" w:space="0"/>
              <w:right w:val="single" w:color="auto" w:sz="4" w:space="0"/>
            </w:tcBorders>
            <w:shd w:val="clear" w:color="auto" w:fill="auto"/>
            <w:noWrap/>
            <w:vAlign w:val="bottom"/>
          </w:tcPr>
          <w:p w14:paraId="0E0C8E53">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中间件</w:t>
            </w:r>
          </w:p>
        </w:tc>
        <w:tc>
          <w:tcPr>
            <w:tcW w:w="1183" w:type="dxa"/>
            <w:tcBorders>
              <w:top w:val="nil"/>
              <w:left w:val="nil"/>
              <w:bottom w:val="single" w:color="auto" w:sz="4" w:space="0"/>
              <w:right w:val="single" w:color="auto" w:sz="4" w:space="0"/>
            </w:tcBorders>
            <w:shd w:val="clear" w:color="auto" w:fill="auto"/>
            <w:noWrap/>
            <w:vAlign w:val="bottom"/>
          </w:tcPr>
          <w:p w14:paraId="6FF02AE1">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single" w:color="auto" w:sz="4" w:space="0"/>
              <w:right w:val="single" w:color="auto" w:sz="4" w:space="0"/>
            </w:tcBorders>
            <w:shd w:val="clear" w:color="auto" w:fill="auto"/>
            <w:noWrap/>
            <w:vAlign w:val="bottom"/>
          </w:tcPr>
          <w:p w14:paraId="2C93D02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single" w:color="auto" w:sz="4" w:space="0"/>
              <w:right w:val="single" w:color="auto" w:sz="4" w:space="0"/>
            </w:tcBorders>
            <w:shd w:val="clear" w:color="auto" w:fill="auto"/>
            <w:noWrap/>
            <w:vAlign w:val="bottom"/>
          </w:tcPr>
          <w:p w14:paraId="32462E9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single" w:color="auto" w:sz="4" w:space="0"/>
              <w:right w:val="single" w:color="auto" w:sz="4" w:space="0"/>
            </w:tcBorders>
            <w:shd w:val="clear" w:color="auto" w:fill="auto"/>
            <w:noWrap/>
            <w:vAlign w:val="bottom"/>
          </w:tcPr>
          <w:p w14:paraId="72B877E0">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single" w:color="auto" w:sz="4" w:space="0"/>
              <w:right w:val="single" w:color="auto" w:sz="4" w:space="0"/>
            </w:tcBorders>
            <w:shd w:val="clear" w:color="auto" w:fill="auto"/>
            <w:noWrap/>
            <w:vAlign w:val="bottom"/>
          </w:tcPr>
          <w:p w14:paraId="445C44CB">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BF7A7C3">
        <w:tblPrEx>
          <w:tblCellMar>
            <w:top w:w="0" w:type="dxa"/>
            <w:left w:w="108" w:type="dxa"/>
            <w:bottom w:w="0" w:type="dxa"/>
            <w:right w:w="108" w:type="dxa"/>
          </w:tblCellMar>
        </w:tblPrEx>
        <w:trPr>
          <w:trHeight w:val="280" w:hRule="atLeast"/>
        </w:trPr>
        <w:tc>
          <w:tcPr>
            <w:tcW w:w="665" w:type="dxa"/>
            <w:tcBorders>
              <w:top w:val="nil"/>
              <w:left w:val="single" w:color="auto" w:sz="4" w:space="0"/>
              <w:bottom w:val="nil"/>
              <w:right w:val="single" w:color="auto" w:sz="4" w:space="0"/>
            </w:tcBorders>
            <w:shd w:val="clear" w:color="auto" w:fill="auto"/>
            <w:noWrap/>
            <w:vAlign w:val="bottom"/>
          </w:tcPr>
          <w:p w14:paraId="5DDAF1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3</w:t>
            </w:r>
          </w:p>
        </w:tc>
        <w:tc>
          <w:tcPr>
            <w:tcW w:w="1173" w:type="dxa"/>
            <w:tcBorders>
              <w:top w:val="nil"/>
              <w:left w:val="nil"/>
              <w:bottom w:val="nil"/>
              <w:right w:val="single" w:color="auto" w:sz="4" w:space="0"/>
            </w:tcBorders>
            <w:shd w:val="clear" w:color="auto" w:fill="auto"/>
            <w:noWrap/>
            <w:vAlign w:val="bottom"/>
          </w:tcPr>
          <w:p w14:paraId="1EC5E32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其他</w:t>
            </w:r>
          </w:p>
        </w:tc>
        <w:tc>
          <w:tcPr>
            <w:tcW w:w="1183" w:type="dxa"/>
            <w:tcBorders>
              <w:top w:val="nil"/>
              <w:left w:val="nil"/>
              <w:bottom w:val="nil"/>
              <w:right w:val="single" w:color="auto" w:sz="4" w:space="0"/>
            </w:tcBorders>
            <w:shd w:val="clear" w:color="auto" w:fill="auto"/>
            <w:noWrap/>
            <w:vAlign w:val="bottom"/>
          </w:tcPr>
          <w:p w14:paraId="7D1F18EF">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70" w:type="dxa"/>
            <w:tcBorders>
              <w:top w:val="nil"/>
              <w:left w:val="nil"/>
              <w:bottom w:val="nil"/>
              <w:right w:val="single" w:color="auto" w:sz="4" w:space="0"/>
            </w:tcBorders>
            <w:shd w:val="clear" w:color="auto" w:fill="auto"/>
            <w:noWrap/>
            <w:vAlign w:val="bottom"/>
          </w:tcPr>
          <w:p w14:paraId="65AD6532">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2362" w:type="dxa"/>
            <w:tcBorders>
              <w:top w:val="nil"/>
              <w:left w:val="nil"/>
              <w:bottom w:val="nil"/>
              <w:right w:val="single" w:color="auto" w:sz="4" w:space="0"/>
            </w:tcBorders>
            <w:shd w:val="clear" w:color="auto" w:fill="auto"/>
            <w:noWrap/>
            <w:vAlign w:val="bottom"/>
          </w:tcPr>
          <w:p w14:paraId="511A4BF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1639" w:type="dxa"/>
            <w:tcBorders>
              <w:top w:val="nil"/>
              <w:left w:val="nil"/>
              <w:bottom w:val="nil"/>
              <w:right w:val="single" w:color="auto" w:sz="4" w:space="0"/>
            </w:tcBorders>
            <w:shd w:val="clear" w:color="auto" w:fill="auto"/>
            <w:noWrap/>
            <w:vAlign w:val="bottom"/>
          </w:tcPr>
          <w:p w14:paraId="55E9D0C7">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c>
          <w:tcPr>
            <w:tcW w:w="730" w:type="dxa"/>
            <w:tcBorders>
              <w:top w:val="nil"/>
              <w:left w:val="nil"/>
              <w:bottom w:val="nil"/>
              <w:right w:val="single" w:color="auto" w:sz="4" w:space="0"/>
            </w:tcBorders>
            <w:shd w:val="clear" w:color="auto" w:fill="auto"/>
            <w:noWrap/>
            <w:vAlign w:val="bottom"/>
          </w:tcPr>
          <w:p w14:paraId="5121F5C4">
            <w:pPr>
              <w:widowControl/>
              <w:spacing w:line="360" w:lineRule="auto"/>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w:t>
            </w:r>
          </w:p>
        </w:tc>
      </w:tr>
      <w:tr w14:paraId="528C3A0B">
        <w:tblPrEx>
          <w:tblCellMar>
            <w:top w:w="0" w:type="dxa"/>
            <w:left w:w="108" w:type="dxa"/>
            <w:bottom w:w="0" w:type="dxa"/>
            <w:right w:w="108" w:type="dxa"/>
          </w:tblCellMar>
        </w:tblPrEx>
        <w:trPr>
          <w:trHeight w:val="280" w:hRule="atLeast"/>
        </w:trPr>
        <w:tc>
          <w:tcPr>
            <w:tcW w:w="665" w:type="dxa"/>
            <w:tcBorders>
              <w:top w:val="nil"/>
              <w:left w:val="single" w:color="auto" w:sz="4" w:space="0"/>
              <w:bottom w:val="single" w:color="auto" w:sz="4" w:space="0"/>
              <w:right w:val="single" w:color="auto" w:sz="4" w:space="0"/>
            </w:tcBorders>
            <w:shd w:val="clear" w:color="auto" w:fill="auto"/>
            <w:noWrap/>
            <w:vAlign w:val="bottom"/>
          </w:tcPr>
          <w:p w14:paraId="2BB3D838">
            <w:pPr>
              <w:widowControl/>
              <w:spacing w:line="360" w:lineRule="auto"/>
              <w:jc w:val="left"/>
              <w:rPr>
                <w:rFonts w:ascii="等线" w:hAnsi="等线" w:eastAsia="等线" w:cs="宋体"/>
                <w:color w:val="000000"/>
                <w:kern w:val="0"/>
                <w:sz w:val="22"/>
                <w:szCs w:val="22"/>
              </w:rPr>
            </w:pPr>
            <w:r>
              <w:rPr>
                <w:rFonts w:ascii="等线" w:hAnsi="等线" w:eastAsia="等线" w:cs="宋体"/>
                <w:color w:val="000000"/>
                <w:kern w:val="0"/>
                <w:sz w:val="22"/>
                <w:szCs w:val="22"/>
              </w:rPr>
              <w:t>…</w:t>
            </w:r>
          </w:p>
        </w:tc>
        <w:tc>
          <w:tcPr>
            <w:tcW w:w="1173" w:type="dxa"/>
            <w:tcBorders>
              <w:top w:val="nil"/>
              <w:left w:val="nil"/>
              <w:bottom w:val="single" w:color="auto" w:sz="4" w:space="0"/>
              <w:right w:val="single" w:color="auto" w:sz="4" w:space="0"/>
            </w:tcBorders>
            <w:shd w:val="clear" w:color="auto" w:fill="auto"/>
            <w:noWrap/>
            <w:vAlign w:val="bottom"/>
          </w:tcPr>
          <w:p w14:paraId="27659642">
            <w:pPr>
              <w:widowControl/>
              <w:spacing w:line="360" w:lineRule="auto"/>
              <w:jc w:val="left"/>
              <w:rPr>
                <w:rFonts w:ascii="等线" w:hAnsi="等线" w:eastAsia="等线" w:cs="宋体"/>
                <w:color w:val="000000"/>
                <w:kern w:val="0"/>
                <w:sz w:val="22"/>
                <w:szCs w:val="22"/>
              </w:rPr>
            </w:pPr>
          </w:p>
        </w:tc>
        <w:tc>
          <w:tcPr>
            <w:tcW w:w="1183" w:type="dxa"/>
            <w:tcBorders>
              <w:top w:val="nil"/>
              <w:left w:val="nil"/>
              <w:bottom w:val="single" w:color="auto" w:sz="4" w:space="0"/>
              <w:right w:val="single" w:color="auto" w:sz="4" w:space="0"/>
            </w:tcBorders>
            <w:shd w:val="clear" w:color="auto" w:fill="auto"/>
            <w:noWrap/>
            <w:vAlign w:val="bottom"/>
          </w:tcPr>
          <w:p w14:paraId="3E655B0A">
            <w:pPr>
              <w:widowControl/>
              <w:spacing w:line="360" w:lineRule="auto"/>
              <w:jc w:val="left"/>
              <w:rPr>
                <w:rFonts w:ascii="等线" w:hAnsi="等线" w:eastAsia="等线" w:cs="宋体"/>
                <w:color w:val="000000"/>
                <w:kern w:val="0"/>
                <w:sz w:val="22"/>
                <w:szCs w:val="22"/>
              </w:rPr>
            </w:pPr>
          </w:p>
        </w:tc>
        <w:tc>
          <w:tcPr>
            <w:tcW w:w="770" w:type="dxa"/>
            <w:tcBorders>
              <w:top w:val="nil"/>
              <w:left w:val="nil"/>
              <w:bottom w:val="single" w:color="auto" w:sz="4" w:space="0"/>
              <w:right w:val="single" w:color="auto" w:sz="4" w:space="0"/>
            </w:tcBorders>
            <w:shd w:val="clear" w:color="auto" w:fill="auto"/>
            <w:noWrap/>
            <w:vAlign w:val="bottom"/>
          </w:tcPr>
          <w:p w14:paraId="01923C32">
            <w:pPr>
              <w:widowControl/>
              <w:spacing w:line="360" w:lineRule="auto"/>
              <w:jc w:val="left"/>
              <w:rPr>
                <w:rFonts w:ascii="等线" w:hAnsi="等线" w:eastAsia="等线" w:cs="宋体"/>
                <w:color w:val="000000"/>
                <w:kern w:val="0"/>
                <w:sz w:val="22"/>
                <w:szCs w:val="22"/>
              </w:rPr>
            </w:pPr>
          </w:p>
        </w:tc>
        <w:tc>
          <w:tcPr>
            <w:tcW w:w="2362" w:type="dxa"/>
            <w:tcBorders>
              <w:top w:val="nil"/>
              <w:left w:val="nil"/>
              <w:bottom w:val="single" w:color="auto" w:sz="4" w:space="0"/>
              <w:right w:val="single" w:color="auto" w:sz="4" w:space="0"/>
            </w:tcBorders>
            <w:shd w:val="clear" w:color="auto" w:fill="auto"/>
            <w:noWrap/>
            <w:vAlign w:val="bottom"/>
          </w:tcPr>
          <w:p w14:paraId="7599C9B1">
            <w:pPr>
              <w:widowControl/>
              <w:spacing w:line="360" w:lineRule="auto"/>
              <w:jc w:val="left"/>
              <w:rPr>
                <w:rFonts w:ascii="等线" w:hAnsi="等线" w:eastAsia="等线" w:cs="宋体"/>
                <w:color w:val="000000"/>
                <w:kern w:val="0"/>
                <w:sz w:val="22"/>
                <w:szCs w:val="22"/>
              </w:rPr>
            </w:pPr>
          </w:p>
        </w:tc>
        <w:tc>
          <w:tcPr>
            <w:tcW w:w="1639" w:type="dxa"/>
            <w:tcBorders>
              <w:top w:val="nil"/>
              <w:left w:val="nil"/>
              <w:bottom w:val="single" w:color="auto" w:sz="4" w:space="0"/>
              <w:right w:val="single" w:color="auto" w:sz="4" w:space="0"/>
            </w:tcBorders>
            <w:shd w:val="clear" w:color="auto" w:fill="auto"/>
            <w:noWrap/>
            <w:vAlign w:val="bottom"/>
          </w:tcPr>
          <w:p w14:paraId="1B616CD3">
            <w:pPr>
              <w:widowControl/>
              <w:spacing w:line="360" w:lineRule="auto"/>
              <w:jc w:val="left"/>
              <w:rPr>
                <w:rFonts w:ascii="等线" w:hAnsi="等线" w:eastAsia="等线" w:cs="宋体"/>
                <w:color w:val="000000"/>
                <w:kern w:val="0"/>
                <w:sz w:val="22"/>
                <w:szCs w:val="22"/>
              </w:rPr>
            </w:pPr>
          </w:p>
        </w:tc>
        <w:tc>
          <w:tcPr>
            <w:tcW w:w="730" w:type="dxa"/>
            <w:tcBorders>
              <w:top w:val="nil"/>
              <w:left w:val="nil"/>
              <w:bottom w:val="single" w:color="auto" w:sz="4" w:space="0"/>
              <w:right w:val="single" w:color="auto" w:sz="4" w:space="0"/>
            </w:tcBorders>
            <w:shd w:val="clear" w:color="auto" w:fill="auto"/>
            <w:noWrap/>
            <w:vAlign w:val="bottom"/>
          </w:tcPr>
          <w:p w14:paraId="4E6D74B7">
            <w:pPr>
              <w:widowControl/>
              <w:spacing w:line="360" w:lineRule="auto"/>
              <w:jc w:val="left"/>
              <w:rPr>
                <w:rFonts w:ascii="等线" w:hAnsi="等线" w:eastAsia="等线" w:cs="宋体"/>
                <w:color w:val="000000"/>
                <w:kern w:val="0"/>
                <w:sz w:val="22"/>
                <w:szCs w:val="22"/>
              </w:rPr>
            </w:pPr>
          </w:p>
        </w:tc>
      </w:tr>
    </w:tbl>
    <w:p w14:paraId="04132479">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43" w:name="_Toc6854"/>
      <w:bookmarkStart w:id="2244" w:name="_Toc25249"/>
      <w:bookmarkStart w:id="2245" w:name="_Toc18551"/>
      <w:bookmarkStart w:id="2246" w:name="_Toc23169"/>
      <w:bookmarkStart w:id="2247" w:name="_Toc757"/>
      <w:bookmarkStart w:id="2248" w:name="_Toc8974"/>
      <w:bookmarkStart w:id="2249" w:name="_Toc19939"/>
      <w:bookmarkStart w:id="2250" w:name="_Toc7737"/>
      <w:bookmarkStart w:id="2251" w:name="_Toc4546"/>
      <w:bookmarkStart w:id="2252" w:name="_Toc2827"/>
      <w:bookmarkStart w:id="2253" w:name="_Toc1693"/>
      <w:r>
        <w:rPr>
          <w:rFonts w:hint="eastAsia" w:ascii="等线" w:hAnsi="等线" w:eastAsia="等线" w:cs="Times New Roman"/>
          <w:b/>
          <w:kern w:val="2"/>
          <w:sz w:val="24"/>
          <w:szCs w:val="24"/>
          <w:lang w:val="en-US" w:eastAsia="zh-CN" w:bidi="ar-SA"/>
        </w:rPr>
        <w:t>2.3 开源软件类</w:t>
      </w:r>
      <w:bookmarkEnd w:id="2243"/>
      <w:bookmarkEnd w:id="2244"/>
      <w:bookmarkEnd w:id="2245"/>
      <w:bookmarkEnd w:id="2246"/>
      <w:bookmarkEnd w:id="2247"/>
      <w:bookmarkEnd w:id="2248"/>
      <w:bookmarkEnd w:id="2249"/>
      <w:bookmarkEnd w:id="2250"/>
      <w:bookmarkEnd w:id="2251"/>
      <w:bookmarkEnd w:id="2252"/>
      <w:bookmarkEnd w:id="2253"/>
    </w:p>
    <w:p w14:paraId="0256EB6B">
      <w:pPr>
        <w:spacing w:line="360" w:lineRule="auto"/>
        <w:jc w:val="left"/>
        <w:rPr>
          <w:rFonts w:ascii="等线" w:hAnsi="等线" w:eastAsia="等线" w:cs="Times New Roman"/>
          <w:sz w:val="24"/>
          <w:szCs w:val="24"/>
        </w:rPr>
      </w:pPr>
      <w:r>
        <w:rPr>
          <w:rFonts w:hint="eastAsia" w:ascii="微软雅黑" w:hAnsi="微软雅黑" w:eastAsia="微软雅黑" w:cs="Times New Roman"/>
          <w:iCs/>
          <w:sz w:val="20"/>
          <w:szCs w:val="22"/>
        </w:rPr>
        <w:t>开源软件类是指软件中应用的开源组件。</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984"/>
        <w:gridCol w:w="721"/>
        <w:gridCol w:w="1416"/>
        <w:gridCol w:w="1416"/>
        <w:gridCol w:w="2249"/>
        <w:gridCol w:w="1100"/>
      </w:tblGrid>
      <w:tr w14:paraId="67F0E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376" w:type="pct"/>
            <w:shd w:val="clear" w:color="auto" w:fill="auto"/>
            <w:noWrap/>
            <w:vAlign w:val="center"/>
          </w:tcPr>
          <w:p w14:paraId="1434B561">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序号</w:t>
            </w:r>
          </w:p>
        </w:tc>
        <w:tc>
          <w:tcPr>
            <w:tcW w:w="577" w:type="pct"/>
            <w:shd w:val="clear" w:color="auto" w:fill="auto"/>
            <w:noWrap/>
            <w:vAlign w:val="center"/>
          </w:tcPr>
          <w:p w14:paraId="2A1517FD">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组件名称</w:t>
            </w:r>
          </w:p>
        </w:tc>
        <w:tc>
          <w:tcPr>
            <w:tcW w:w="423" w:type="pct"/>
            <w:shd w:val="clear" w:color="auto" w:fill="auto"/>
            <w:noWrap/>
            <w:vAlign w:val="center"/>
          </w:tcPr>
          <w:p w14:paraId="33571C5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组件版本</w:t>
            </w:r>
          </w:p>
        </w:tc>
        <w:tc>
          <w:tcPr>
            <w:tcW w:w="830" w:type="pct"/>
            <w:vAlign w:val="center"/>
          </w:tcPr>
          <w:p w14:paraId="31F0C153">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组件厂商或托管组织</w:t>
            </w:r>
          </w:p>
        </w:tc>
        <w:tc>
          <w:tcPr>
            <w:tcW w:w="830" w:type="pct"/>
            <w:shd w:val="clear" w:color="auto" w:fill="auto"/>
            <w:noWrap/>
            <w:vAlign w:val="center"/>
          </w:tcPr>
          <w:p w14:paraId="73E2C259">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组件来源链接</w:t>
            </w:r>
          </w:p>
        </w:tc>
        <w:tc>
          <w:tcPr>
            <w:tcW w:w="1319" w:type="pct"/>
            <w:shd w:val="clear" w:color="auto" w:fill="auto"/>
            <w:noWrap/>
            <w:vAlign w:val="center"/>
          </w:tcPr>
          <w:p w14:paraId="5552BF3E">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依赖关系</w:t>
            </w:r>
          </w:p>
          <w:p w14:paraId="6D43ECA7">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w:t>
            </w:r>
            <w:r>
              <w:rPr>
                <w:rFonts w:hint="eastAsia" w:ascii="微软雅黑" w:hAnsi="微软雅黑" w:eastAsia="微软雅黑" w:cs="Times New Roman"/>
                <w:b/>
                <w:sz w:val="20"/>
                <w:szCs w:val="22"/>
              </w:rPr>
              <w:t>直接依赖</w:t>
            </w:r>
            <w:r>
              <w:rPr>
                <w:rFonts w:hint="eastAsia" w:ascii="微软雅黑" w:hAnsi="微软雅黑" w:eastAsia="微软雅黑" w:cs="Times New Roman"/>
                <w:sz w:val="20"/>
                <w:szCs w:val="22"/>
              </w:rPr>
              <w:t xml:space="preserve">-软件包直接使用的组件、 </w:t>
            </w:r>
            <w:r>
              <w:rPr>
                <w:rFonts w:hint="eastAsia" w:ascii="微软雅黑" w:hAnsi="微软雅黑" w:eastAsia="微软雅黑" w:cs="Times New Roman"/>
                <w:b/>
                <w:sz w:val="20"/>
                <w:szCs w:val="22"/>
              </w:rPr>
              <w:t>间接依赖</w:t>
            </w:r>
            <w:r>
              <w:rPr>
                <w:rFonts w:hint="eastAsia" w:ascii="微软雅黑" w:hAnsi="微软雅黑" w:eastAsia="微软雅黑" w:cs="Times New Roman"/>
                <w:sz w:val="20"/>
                <w:szCs w:val="22"/>
              </w:rPr>
              <w:t>-直接依赖的组件所依赖的组件）</w:t>
            </w:r>
          </w:p>
        </w:tc>
        <w:tc>
          <w:tcPr>
            <w:tcW w:w="645" w:type="pct"/>
            <w:shd w:val="clear" w:color="auto" w:fill="auto"/>
            <w:noWrap/>
            <w:vAlign w:val="center"/>
          </w:tcPr>
          <w:p w14:paraId="60529D0C">
            <w:pPr>
              <w:spacing w:line="0" w:lineRule="atLeast"/>
              <w:jc w:val="center"/>
              <w:rPr>
                <w:rFonts w:ascii="微软雅黑" w:hAnsi="微软雅黑" w:eastAsia="微软雅黑" w:cs="Times New Roman"/>
                <w:sz w:val="20"/>
                <w:szCs w:val="22"/>
              </w:rPr>
            </w:pPr>
            <w:r>
              <w:rPr>
                <w:rFonts w:hint="eastAsia" w:ascii="微软雅黑" w:hAnsi="微软雅黑" w:eastAsia="微软雅黑" w:cs="Times New Roman"/>
                <w:sz w:val="20"/>
                <w:szCs w:val="22"/>
              </w:rPr>
              <w:t>许可证</w:t>
            </w:r>
          </w:p>
        </w:tc>
      </w:tr>
      <w:tr w14:paraId="18A7C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376" w:type="pct"/>
            <w:shd w:val="clear" w:color="auto" w:fill="auto"/>
            <w:noWrap/>
            <w:vAlign w:val="center"/>
          </w:tcPr>
          <w:p w14:paraId="257FE345">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示例</w:t>
            </w:r>
          </w:p>
        </w:tc>
        <w:tc>
          <w:tcPr>
            <w:tcW w:w="577" w:type="pct"/>
            <w:shd w:val="clear" w:color="auto" w:fill="auto"/>
            <w:noWrap/>
            <w:vAlign w:val="center"/>
          </w:tcPr>
          <w:p w14:paraId="0205401C">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spring-co</w:t>
            </w:r>
          </w:p>
        </w:tc>
        <w:tc>
          <w:tcPr>
            <w:tcW w:w="423" w:type="pct"/>
            <w:shd w:val="clear" w:color="auto" w:fill="auto"/>
            <w:noWrap/>
            <w:vAlign w:val="center"/>
          </w:tcPr>
          <w:p w14:paraId="4BEB3CAD">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5.3.19</w:t>
            </w:r>
          </w:p>
        </w:tc>
        <w:tc>
          <w:tcPr>
            <w:tcW w:w="830" w:type="pct"/>
            <w:vAlign w:val="center"/>
          </w:tcPr>
          <w:p w14:paraId="55700C36">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org.springfr</w:t>
            </w:r>
          </w:p>
        </w:tc>
        <w:tc>
          <w:tcPr>
            <w:tcW w:w="830" w:type="pct"/>
            <w:shd w:val="clear" w:color="auto" w:fill="auto"/>
            <w:noWrap/>
            <w:vAlign w:val="center"/>
          </w:tcPr>
          <w:p w14:paraId="52C528C4">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https://mvnre</w:t>
            </w:r>
          </w:p>
        </w:tc>
        <w:tc>
          <w:tcPr>
            <w:tcW w:w="1319" w:type="pct"/>
            <w:shd w:val="clear" w:color="auto" w:fill="auto"/>
            <w:noWrap/>
            <w:vAlign w:val="center"/>
          </w:tcPr>
          <w:p w14:paraId="4F8012DE">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直接依赖</w:t>
            </w:r>
          </w:p>
        </w:tc>
        <w:tc>
          <w:tcPr>
            <w:tcW w:w="645" w:type="pct"/>
            <w:shd w:val="clear" w:color="auto" w:fill="auto"/>
            <w:noWrap/>
            <w:vAlign w:val="center"/>
          </w:tcPr>
          <w:p w14:paraId="7B3EA651">
            <w:pPr>
              <w:spacing w:line="0" w:lineRule="atLeast"/>
              <w:jc w:val="center"/>
              <w:rPr>
                <w:rFonts w:ascii="微软雅黑" w:hAnsi="微软雅黑" w:eastAsia="微软雅黑" w:cs="Times New Roman"/>
                <w:i/>
                <w:color w:val="5B9BD5"/>
                <w:sz w:val="20"/>
                <w:szCs w:val="22"/>
              </w:rPr>
            </w:pPr>
            <w:r>
              <w:rPr>
                <w:rFonts w:hint="eastAsia" w:ascii="微软雅黑" w:hAnsi="微软雅黑" w:eastAsia="微软雅黑" w:cs="Times New Roman"/>
                <w:i/>
                <w:color w:val="5B9BD5"/>
                <w:sz w:val="20"/>
                <w:szCs w:val="22"/>
              </w:rPr>
              <w:t xml:space="preserve">Apache </w:t>
            </w:r>
          </w:p>
        </w:tc>
      </w:tr>
      <w:tr w14:paraId="7CBBE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76" w:type="pct"/>
            <w:shd w:val="clear" w:color="auto" w:fill="auto"/>
            <w:noWrap/>
            <w:vAlign w:val="center"/>
          </w:tcPr>
          <w:p w14:paraId="7F221802">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1</w:t>
            </w:r>
          </w:p>
        </w:tc>
        <w:tc>
          <w:tcPr>
            <w:tcW w:w="577" w:type="pct"/>
            <w:shd w:val="clear" w:color="auto" w:fill="auto"/>
            <w:noWrap/>
            <w:vAlign w:val="center"/>
          </w:tcPr>
          <w:p w14:paraId="7A4A92F3">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0195165F">
            <w:pPr>
              <w:widowControl/>
              <w:jc w:val="left"/>
              <w:textAlignment w:val="center"/>
              <w:rPr>
                <w:rFonts w:ascii="微软雅黑" w:hAnsi="微软雅黑" w:eastAsia="微软雅黑" w:cs="微软雅黑"/>
                <w:i/>
                <w:iCs/>
                <w:color w:val="000000"/>
                <w:szCs w:val="21"/>
              </w:rPr>
            </w:pPr>
          </w:p>
        </w:tc>
        <w:tc>
          <w:tcPr>
            <w:tcW w:w="830" w:type="pct"/>
            <w:vAlign w:val="center"/>
          </w:tcPr>
          <w:p w14:paraId="79E5854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4B8340EB">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154DE9CE">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4A3CB5E">
            <w:pPr>
              <w:widowControl/>
              <w:jc w:val="left"/>
              <w:textAlignment w:val="center"/>
              <w:rPr>
                <w:rFonts w:ascii="微软雅黑" w:hAnsi="微软雅黑" w:eastAsia="微软雅黑" w:cs="微软雅黑"/>
                <w:i/>
                <w:iCs/>
                <w:color w:val="000000"/>
                <w:szCs w:val="21"/>
              </w:rPr>
            </w:pPr>
          </w:p>
        </w:tc>
      </w:tr>
      <w:tr w14:paraId="405F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53A109AB">
            <w:pPr>
              <w:widowControl/>
              <w:jc w:val="left"/>
              <w:textAlignment w:val="center"/>
              <w:rPr>
                <w:rFonts w:ascii="微软雅黑" w:hAnsi="微软雅黑" w:eastAsia="微软雅黑" w:cs="宋体"/>
                <w:color w:val="000000"/>
                <w:szCs w:val="21"/>
              </w:rPr>
            </w:pPr>
            <w:r>
              <w:rPr>
                <w:rFonts w:hint="eastAsia" w:ascii="微软雅黑" w:hAnsi="微软雅黑" w:eastAsia="微软雅黑" w:cs="宋体"/>
                <w:color w:val="000000"/>
                <w:szCs w:val="21"/>
              </w:rPr>
              <w:t>2</w:t>
            </w:r>
          </w:p>
        </w:tc>
        <w:tc>
          <w:tcPr>
            <w:tcW w:w="577" w:type="pct"/>
            <w:shd w:val="clear" w:color="auto" w:fill="auto"/>
            <w:noWrap/>
            <w:vAlign w:val="center"/>
          </w:tcPr>
          <w:p w14:paraId="392CAF00">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4DF7F4F8">
            <w:pPr>
              <w:widowControl/>
              <w:jc w:val="left"/>
              <w:textAlignment w:val="center"/>
              <w:rPr>
                <w:rFonts w:ascii="微软雅黑" w:hAnsi="微软雅黑" w:eastAsia="微软雅黑" w:cs="微软雅黑"/>
                <w:i/>
                <w:iCs/>
                <w:color w:val="000000"/>
                <w:szCs w:val="21"/>
              </w:rPr>
            </w:pPr>
          </w:p>
        </w:tc>
        <w:tc>
          <w:tcPr>
            <w:tcW w:w="830" w:type="pct"/>
            <w:vAlign w:val="center"/>
          </w:tcPr>
          <w:p w14:paraId="30F1FCA5">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7399BF03">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498333D9">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444AB196">
            <w:pPr>
              <w:widowControl/>
              <w:jc w:val="left"/>
              <w:textAlignment w:val="center"/>
              <w:rPr>
                <w:rFonts w:ascii="微软雅黑" w:hAnsi="微软雅黑" w:eastAsia="微软雅黑" w:cs="微软雅黑"/>
                <w:i/>
                <w:iCs/>
                <w:color w:val="000000"/>
                <w:szCs w:val="21"/>
              </w:rPr>
            </w:pPr>
          </w:p>
        </w:tc>
      </w:tr>
      <w:tr w14:paraId="6C481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376" w:type="pct"/>
            <w:shd w:val="clear" w:color="auto" w:fill="auto"/>
            <w:noWrap/>
            <w:vAlign w:val="center"/>
          </w:tcPr>
          <w:p w14:paraId="2B4E6669">
            <w:pPr>
              <w:widowControl/>
              <w:jc w:val="left"/>
              <w:textAlignment w:val="center"/>
              <w:rPr>
                <w:rFonts w:ascii="微软雅黑" w:hAnsi="微软雅黑" w:eastAsia="微软雅黑" w:cs="宋体"/>
                <w:color w:val="000000"/>
                <w:szCs w:val="21"/>
              </w:rPr>
            </w:pPr>
            <w:r>
              <w:rPr>
                <w:rFonts w:ascii="微软雅黑" w:hAnsi="微软雅黑" w:eastAsia="微软雅黑" w:cs="宋体"/>
                <w:color w:val="000000"/>
                <w:szCs w:val="21"/>
              </w:rPr>
              <w:t>…</w:t>
            </w:r>
          </w:p>
        </w:tc>
        <w:tc>
          <w:tcPr>
            <w:tcW w:w="577" w:type="pct"/>
            <w:shd w:val="clear" w:color="auto" w:fill="auto"/>
            <w:noWrap/>
            <w:vAlign w:val="center"/>
          </w:tcPr>
          <w:p w14:paraId="706E1411">
            <w:pPr>
              <w:widowControl/>
              <w:jc w:val="left"/>
              <w:textAlignment w:val="center"/>
              <w:rPr>
                <w:rFonts w:ascii="微软雅黑" w:hAnsi="微软雅黑" w:eastAsia="微软雅黑" w:cs="微软雅黑"/>
                <w:i/>
                <w:iCs/>
                <w:color w:val="000000"/>
                <w:szCs w:val="21"/>
              </w:rPr>
            </w:pPr>
          </w:p>
        </w:tc>
        <w:tc>
          <w:tcPr>
            <w:tcW w:w="423" w:type="pct"/>
            <w:shd w:val="clear" w:color="auto" w:fill="auto"/>
            <w:noWrap/>
            <w:vAlign w:val="center"/>
          </w:tcPr>
          <w:p w14:paraId="1F6A8398">
            <w:pPr>
              <w:widowControl/>
              <w:jc w:val="left"/>
              <w:textAlignment w:val="center"/>
              <w:rPr>
                <w:rFonts w:ascii="微软雅黑" w:hAnsi="微软雅黑" w:eastAsia="微软雅黑" w:cs="微软雅黑"/>
                <w:i/>
                <w:iCs/>
                <w:color w:val="000000"/>
                <w:szCs w:val="21"/>
              </w:rPr>
            </w:pPr>
          </w:p>
        </w:tc>
        <w:tc>
          <w:tcPr>
            <w:tcW w:w="830" w:type="pct"/>
            <w:vAlign w:val="center"/>
          </w:tcPr>
          <w:p w14:paraId="0804E637">
            <w:pPr>
              <w:widowControl/>
              <w:jc w:val="left"/>
              <w:textAlignment w:val="center"/>
              <w:rPr>
                <w:rFonts w:ascii="微软雅黑" w:hAnsi="微软雅黑" w:eastAsia="微软雅黑" w:cs="微软雅黑"/>
                <w:i/>
                <w:iCs/>
                <w:color w:val="000000"/>
                <w:szCs w:val="21"/>
              </w:rPr>
            </w:pPr>
          </w:p>
        </w:tc>
        <w:tc>
          <w:tcPr>
            <w:tcW w:w="830" w:type="pct"/>
            <w:shd w:val="clear" w:color="auto" w:fill="auto"/>
            <w:noWrap/>
            <w:vAlign w:val="center"/>
          </w:tcPr>
          <w:p w14:paraId="6F981F5D">
            <w:pPr>
              <w:widowControl/>
              <w:jc w:val="left"/>
              <w:textAlignment w:val="center"/>
              <w:rPr>
                <w:rFonts w:ascii="微软雅黑" w:hAnsi="微软雅黑" w:eastAsia="微软雅黑" w:cs="微软雅黑"/>
                <w:i/>
                <w:iCs/>
                <w:color w:val="000000"/>
                <w:szCs w:val="21"/>
              </w:rPr>
            </w:pPr>
          </w:p>
        </w:tc>
        <w:tc>
          <w:tcPr>
            <w:tcW w:w="1319" w:type="pct"/>
            <w:shd w:val="clear" w:color="auto" w:fill="auto"/>
            <w:noWrap/>
            <w:vAlign w:val="center"/>
          </w:tcPr>
          <w:p w14:paraId="34854B6A">
            <w:pPr>
              <w:widowControl/>
              <w:jc w:val="left"/>
              <w:textAlignment w:val="center"/>
              <w:rPr>
                <w:rFonts w:ascii="微软雅黑" w:hAnsi="微软雅黑" w:eastAsia="微软雅黑" w:cs="微软雅黑"/>
                <w:i/>
                <w:iCs/>
                <w:color w:val="000000"/>
                <w:szCs w:val="21"/>
              </w:rPr>
            </w:pPr>
          </w:p>
        </w:tc>
        <w:tc>
          <w:tcPr>
            <w:tcW w:w="645" w:type="pct"/>
            <w:shd w:val="clear" w:color="auto" w:fill="auto"/>
            <w:noWrap/>
            <w:vAlign w:val="center"/>
          </w:tcPr>
          <w:p w14:paraId="2D4D28EE">
            <w:pPr>
              <w:widowControl/>
              <w:jc w:val="left"/>
              <w:textAlignment w:val="center"/>
              <w:rPr>
                <w:rFonts w:ascii="微软雅黑" w:hAnsi="微软雅黑" w:eastAsia="微软雅黑" w:cs="微软雅黑"/>
                <w:i/>
                <w:iCs/>
                <w:color w:val="000000"/>
                <w:szCs w:val="21"/>
              </w:rPr>
            </w:pPr>
          </w:p>
        </w:tc>
      </w:tr>
    </w:tbl>
    <w:p w14:paraId="29F58CF4">
      <w:pPr>
        <w:keepNext/>
        <w:keepLines/>
        <w:widowControl w:val="0"/>
        <w:spacing w:before="260" w:after="260" w:line="413" w:lineRule="auto"/>
        <w:jc w:val="left"/>
        <w:outlineLvl w:val="2"/>
        <w:rPr>
          <w:rFonts w:ascii="等线" w:hAnsi="等线" w:eastAsia="等线" w:cs="Times New Roman"/>
          <w:b/>
          <w:kern w:val="2"/>
          <w:sz w:val="24"/>
          <w:szCs w:val="24"/>
          <w:lang w:val="en-US" w:eastAsia="zh-CN" w:bidi="ar-SA"/>
        </w:rPr>
      </w:pPr>
      <w:bookmarkStart w:id="2254" w:name="_Toc25661"/>
      <w:bookmarkStart w:id="2255" w:name="_Toc7528"/>
      <w:bookmarkStart w:id="2256" w:name="_Toc25318"/>
      <w:bookmarkStart w:id="2257" w:name="_Toc12454"/>
      <w:bookmarkStart w:id="2258" w:name="_Toc23181"/>
      <w:bookmarkStart w:id="2259" w:name="_Toc5581"/>
      <w:bookmarkStart w:id="2260" w:name="_Toc19803"/>
      <w:bookmarkStart w:id="2261" w:name="_Toc27209"/>
      <w:bookmarkStart w:id="2262" w:name="_Toc13385"/>
      <w:bookmarkStart w:id="2263" w:name="_Toc4881"/>
      <w:bookmarkStart w:id="2264" w:name="_Toc13954"/>
      <w:r>
        <w:rPr>
          <w:rFonts w:hint="eastAsia" w:ascii="等线" w:hAnsi="等线" w:eastAsia="等线" w:cs="Times New Roman"/>
          <w:b/>
          <w:kern w:val="2"/>
          <w:sz w:val="24"/>
          <w:szCs w:val="24"/>
          <w:lang w:val="en-US" w:eastAsia="zh-CN" w:bidi="ar-SA"/>
        </w:rPr>
        <w:t>三、</w:t>
      </w:r>
      <w:r>
        <w:rPr>
          <w:rFonts w:ascii="等线" w:hAnsi="等线" w:eastAsia="等线" w:cs="Times New Roman"/>
          <w:b/>
          <w:kern w:val="2"/>
          <w:sz w:val="24"/>
          <w:szCs w:val="24"/>
          <w:lang w:val="en-US" w:eastAsia="zh-CN" w:bidi="ar-SA"/>
        </w:rPr>
        <w:t>合法获取</w:t>
      </w:r>
      <w:r>
        <w:rPr>
          <w:rFonts w:hint="eastAsia" w:ascii="等线" w:hAnsi="等线" w:eastAsia="等线" w:cs="Times New Roman"/>
          <w:b/>
          <w:kern w:val="2"/>
          <w:sz w:val="24"/>
          <w:szCs w:val="24"/>
          <w:lang w:val="en-US" w:eastAsia="zh-CN" w:bidi="ar-SA"/>
        </w:rPr>
        <w:t>开发工具、</w:t>
      </w:r>
      <w:r>
        <w:rPr>
          <w:rFonts w:ascii="等线" w:hAnsi="等线" w:eastAsia="等线" w:cs="Times New Roman"/>
          <w:b/>
          <w:kern w:val="2"/>
          <w:sz w:val="24"/>
          <w:szCs w:val="24"/>
          <w:lang w:val="en-US" w:eastAsia="zh-CN" w:bidi="ar-SA"/>
        </w:rPr>
        <w:t>开源软件、第三方软件使用权的证明</w:t>
      </w:r>
      <w:r>
        <w:rPr>
          <w:rFonts w:hint="eastAsia" w:ascii="等线" w:hAnsi="等线" w:eastAsia="等线" w:cs="Times New Roman"/>
          <w:b/>
          <w:kern w:val="2"/>
          <w:sz w:val="24"/>
          <w:szCs w:val="24"/>
          <w:lang w:val="en-US" w:eastAsia="zh-CN" w:bidi="ar-SA"/>
        </w:rPr>
        <w:t>材料</w:t>
      </w:r>
      <w:bookmarkEnd w:id="2254"/>
      <w:bookmarkEnd w:id="2255"/>
      <w:bookmarkEnd w:id="2256"/>
      <w:bookmarkEnd w:id="2257"/>
      <w:bookmarkEnd w:id="2258"/>
      <w:bookmarkEnd w:id="2259"/>
      <w:bookmarkEnd w:id="2260"/>
      <w:bookmarkEnd w:id="2261"/>
      <w:bookmarkEnd w:id="2262"/>
      <w:bookmarkEnd w:id="2263"/>
      <w:bookmarkEnd w:id="2264"/>
    </w:p>
    <w:p w14:paraId="47F4D08D">
      <w:pPr>
        <w:rPr>
          <w:rFonts w:hint="eastAsia"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br w:type="page"/>
      </w:r>
    </w:p>
    <w:p w14:paraId="7F26D24B">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sectPr>
          <w:pgSz w:w="11906" w:h="16838"/>
          <w:pgMar w:top="1440" w:right="1797" w:bottom="1440" w:left="1797" w:header="851" w:footer="992" w:gutter="0"/>
          <w:pgNumType w:fmt="decimal"/>
          <w:cols w:space="720" w:num="1"/>
          <w:docGrid w:type="lines" w:linePitch="312" w:charSpace="0"/>
        </w:sectPr>
      </w:pPr>
    </w:p>
    <w:tbl>
      <w:tblPr>
        <w:tblStyle w:val="3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8"/>
        <w:gridCol w:w="2240"/>
        <w:gridCol w:w="2528"/>
        <w:gridCol w:w="2247"/>
        <w:gridCol w:w="2248"/>
        <w:gridCol w:w="1966"/>
        <w:gridCol w:w="2009"/>
      </w:tblGrid>
      <w:tr w14:paraId="6432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0" w:type="auto"/>
            <w:gridSpan w:val="7"/>
            <w:tcBorders>
              <w:top w:val="nil"/>
              <w:left w:val="nil"/>
              <w:bottom w:val="nil"/>
              <w:right w:val="nil"/>
            </w:tcBorders>
            <w:shd w:val="clear" w:color="auto" w:fill="auto"/>
            <w:noWrap/>
            <w:vAlign w:val="center"/>
          </w:tcPr>
          <w:p w14:paraId="7227A781">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近三年行政处罚决定情况申报表</w:t>
            </w:r>
          </w:p>
        </w:tc>
      </w:tr>
      <w:tr w14:paraId="7554A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44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B6F39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行政处罚具体项目名称/事件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29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处罚部门（机关）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F6FD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处罚决定书编号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DE5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处理内容及结果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91B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处罚生效日期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AB6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网络查询链接（如有）</w:t>
            </w:r>
          </w:p>
        </w:tc>
      </w:tr>
      <w:tr w14:paraId="43B59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51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745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E4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7240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B1F1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2FFA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91A3">
            <w:pPr>
              <w:jc w:val="center"/>
              <w:rPr>
                <w:rFonts w:hint="eastAsia" w:ascii="宋体" w:hAnsi="宋体" w:eastAsia="宋体" w:cs="宋体"/>
                <w:i w:val="0"/>
                <w:iCs w:val="0"/>
                <w:color w:val="000000"/>
                <w:sz w:val="22"/>
                <w:szCs w:val="22"/>
                <w:u w:val="none"/>
              </w:rPr>
            </w:pPr>
          </w:p>
        </w:tc>
      </w:tr>
      <w:tr w14:paraId="0AFD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EEC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87D7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75FB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8289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F83B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97A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B587E">
            <w:pPr>
              <w:jc w:val="center"/>
              <w:rPr>
                <w:rFonts w:hint="eastAsia" w:ascii="宋体" w:hAnsi="宋体" w:eastAsia="宋体" w:cs="宋体"/>
                <w:i w:val="0"/>
                <w:iCs w:val="0"/>
                <w:color w:val="000000"/>
                <w:sz w:val="22"/>
                <w:szCs w:val="22"/>
                <w:u w:val="none"/>
              </w:rPr>
            </w:pPr>
          </w:p>
        </w:tc>
      </w:tr>
      <w:tr w14:paraId="53E0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29A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2F0D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7A9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840F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9741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69A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53781">
            <w:pPr>
              <w:jc w:val="center"/>
              <w:rPr>
                <w:rFonts w:hint="eastAsia" w:ascii="宋体" w:hAnsi="宋体" w:eastAsia="宋体" w:cs="宋体"/>
                <w:i w:val="0"/>
                <w:iCs w:val="0"/>
                <w:color w:val="000000"/>
                <w:sz w:val="22"/>
                <w:szCs w:val="22"/>
                <w:u w:val="none"/>
              </w:rPr>
            </w:pPr>
          </w:p>
        </w:tc>
      </w:tr>
      <w:tr w14:paraId="0E387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D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4D3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34C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45AC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93C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AC2F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0FFF5">
            <w:pPr>
              <w:jc w:val="center"/>
              <w:rPr>
                <w:rFonts w:hint="eastAsia" w:ascii="宋体" w:hAnsi="宋体" w:eastAsia="宋体" w:cs="宋体"/>
                <w:i w:val="0"/>
                <w:iCs w:val="0"/>
                <w:color w:val="000000"/>
                <w:sz w:val="22"/>
                <w:szCs w:val="22"/>
                <w:u w:val="none"/>
              </w:rPr>
            </w:pPr>
          </w:p>
        </w:tc>
      </w:tr>
      <w:tr w14:paraId="7A8DA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C8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01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646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684A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9E46">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DFD0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CA299">
            <w:pPr>
              <w:jc w:val="center"/>
              <w:rPr>
                <w:rFonts w:hint="eastAsia" w:ascii="宋体" w:hAnsi="宋体" w:eastAsia="宋体" w:cs="宋体"/>
                <w:i w:val="0"/>
                <w:iCs w:val="0"/>
                <w:color w:val="000000"/>
                <w:sz w:val="22"/>
                <w:szCs w:val="22"/>
                <w:u w:val="none"/>
              </w:rPr>
            </w:pPr>
          </w:p>
        </w:tc>
      </w:tr>
      <w:tr w14:paraId="1020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0" w:type="auto"/>
            <w:gridSpan w:val="7"/>
            <w:tcBorders>
              <w:top w:val="nil"/>
              <w:left w:val="nil"/>
              <w:bottom w:val="nil"/>
              <w:right w:val="nil"/>
            </w:tcBorders>
            <w:shd w:val="clear" w:color="auto" w:fill="auto"/>
            <w:vAlign w:val="center"/>
          </w:tcPr>
          <w:p w14:paraId="685118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注：1、响应人须如实提供本申报表，如存在涉及骗取中标、违约、质量或者安全问题的行政处罚须提供有关资料（包括相关行业主管部门的行政处罚决定文件等，附于本表之后）；未如实填报上述行政处罚的将可能被否决响应。</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2、如响应人无行政处罚的，则应在表格中第一行“行政处罚具体项目名称/事件”列填写“不涉及”。</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3、行政处罚是否涉及不得存在的情形及评审内容由评审委员会判定。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 xml:space="preserve">    4、近三年指投标截止时间前36个月。</w:t>
            </w:r>
          </w:p>
        </w:tc>
      </w:tr>
    </w:tbl>
    <w:p w14:paraId="4A81C17F">
      <w:pPr>
        <w:rPr>
          <w:rFonts w:hint="eastAsia" w:asciiTheme="minorEastAsia" w:hAnsiTheme="minorEastAsia" w:eastAsiaTheme="minorEastAsia"/>
          <w:sz w:val="24"/>
          <w:szCs w:val="24"/>
          <w:highlight w:val="none"/>
        </w:rPr>
        <w:sectPr>
          <w:pgSz w:w="16838" w:h="11906" w:orient="landscape"/>
          <w:pgMar w:top="1797" w:right="1440" w:bottom="1797" w:left="1440" w:header="851" w:footer="992" w:gutter="0"/>
          <w:pgNumType w:fmt="decimal"/>
          <w:cols w:space="0" w:num="1"/>
          <w:rtlGutter w:val="0"/>
          <w:docGrid w:type="lines" w:linePitch="319" w:charSpace="0"/>
        </w:sectPr>
      </w:pPr>
      <w:r>
        <w:rPr>
          <w:rFonts w:hint="eastAsia" w:asciiTheme="minorEastAsia" w:hAnsiTheme="minorEastAsia" w:eastAsiaTheme="minorEastAsia"/>
          <w:sz w:val="24"/>
          <w:szCs w:val="24"/>
          <w:highlight w:val="none"/>
        </w:rPr>
        <w:br w:type="page"/>
      </w:r>
    </w:p>
    <w:p w14:paraId="20086C0B">
      <w:pPr>
        <w:rPr>
          <w:rFonts w:hint="eastAsia" w:asciiTheme="minorEastAsia" w:hAnsiTheme="minorEastAsia" w:eastAsiaTheme="minorEastAsia"/>
          <w:sz w:val="24"/>
          <w:szCs w:val="24"/>
          <w:highlight w:val="none"/>
        </w:rPr>
      </w:pPr>
    </w:p>
    <w:p w14:paraId="5D6F5AAB">
      <w:pPr>
        <w:pStyle w:val="36"/>
        <w:keepNext w:val="0"/>
        <w:keepLines w:val="0"/>
        <w:pageBreakBefore w:val="0"/>
        <w:widowControl w:val="0"/>
        <w:tabs>
          <w:tab w:val="left" w:pos="588"/>
        </w:tabs>
        <w:kinsoku/>
        <w:wordWrap/>
        <w:overflowPunct/>
        <w:topLinePunct w:val="0"/>
        <w:autoSpaceDE/>
        <w:autoSpaceDN/>
        <w:bidi w:val="0"/>
        <w:adjustRightInd/>
        <w:snapToGrid w:val="0"/>
        <w:spacing w:before="120" w:after="120" w:line="440" w:lineRule="exact"/>
        <w:jc w:val="left"/>
        <w:textAlignment w:val="auto"/>
        <w:outlineLvl w:val="1"/>
        <w:rPr>
          <w:rFonts w:hint="eastAsia" w:asciiTheme="minorEastAsia" w:hAnsiTheme="minorEastAsia" w:eastAsiaTheme="minorEastAsia"/>
          <w:sz w:val="24"/>
          <w:szCs w:val="24"/>
          <w:highlight w:val="none"/>
        </w:rPr>
      </w:pPr>
      <w:bookmarkStart w:id="2265" w:name="_Toc31992"/>
      <w:bookmarkStart w:id="2266" w:name="_Toc4121"/>
      <w:bookmarkStart w:id="2267" w:name="_Toc17856"/>
      <w:bookmarkStart w:id="2268" w:name="_Toc30085"/>
      <w:bookmarkStart w:id="2269" w:name="_Toc26186"/>
      <w:bookmarkStart w:id="2270" w:name="_Toc2773"/>
      <w:bookmarkStart w:id="2271" w:name="_Toc21903"/>
      <w:bookmarkStart w:id="2272" w:name="_Toc4702"/>
      <w:bookmarkStart w:id="2273" w:name="_Toc19512"/>
      <w:r>
        <w:rPr>
          <w:rFonts w:hint="eastAsia" w:asciiTheme="minorEastAsia" w:hAnsiTheme="minorEastAsia" w:eastAsiaTheme="minorEastAsia"/>
          <w:sz w:val="24"/>
          <w:szCs w:val="24"/>
          <w:highlight w:val="none"/>
        </w:rPr>
        <w:t>第三分册 报价文件</w:t>
      </w:r>
      <w:bookmarkEnd w:id="2180"/>
      <w:bookmarkEnd w:id="2181"/>
      <w:bookmarkEnd w:id="2182"/>
      <w:bookmarkEnd w:id="2183"/>
      <w:bookmarkEnd w:id="2184"/>
      <w:bookmarkEnd w:id="2185"/>
      <w:bookmarkEnd w:id="2186"/>
      <w:bookmarkEnd w:id="2265"/>
      <w:bookmarkEnd w:id="2266"/>
      <w:bookmarkEnd w:id="2267"/>
      <w:bookmarkEnd w:id="2268"/>
      <w:bookmarkEnd w:id="2269"/>
      <w:bookmarkEnd w:id="2270"/>
      <w:bookmarkEnd w:id="2271"/>
      <w:bookmarkEnd w:id="2272"/>
      <w:bookmarkEnd w:id="2273"/>
    </w:p>
    <w:p w14:paraId="44B28FFB">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asciiTheme="minorEastAsia" w:hAnsiTheme="minorEastAsia" w:eastAsiaTheme="minorEastAsia"/>
          <w:sz w:val="24"/>
          <w:szCs w:val="24"/>
          <w:highlight w:val="none"/>
        </w:rPr>
      </w:pPr>
      <w:bookmarkStart w:id="2274" w:name="_Toc7029"/>
      <w:bookmarkStart w:id="2275" w:name="_Toc23188"/>
      <w:bookmarkStart w:id="2276" w:name="_Toc28388"/>
      <w:bookmarkStart w:id="2277" w:name="_Toc27730"/>
      <w:bookmarkStart w:id="2278" w:name="_Toc16936"/>
      <w:bookmarkStart w:id="2279" w:name="_Toc14086"/>
      <w:bookmarkStart w:id="2280" w:name="_Toc27601"/>
      <w:bookmarkStart w:id="2281" w:name="_Toc1395"/>
      <w:bookmarkStart w:id="2282" w:name="_Toc16322"/>
      <w:bookmarkStart w:id="2283" w:name="_Toc10529"/>
      <w:bookmarkStart w:id="2284" w:name="_Toc24589"/>
      <w:bookmarkStart w:id="2285" w:name="_Toc16100"/>
      <w:r>
        <w:rPr>
          <w:rFonts w:hint="eastAsia" w:cs="Times New Roman" w:asciiTheme="minorEastAsia" w:hAnsiTheme="minorEastAsia" w:eastAsiaTheme="minorEastAsia"/>
          <w:b/>
          <w:bCs/>
          <w:kern w:val="2"/>
          <w:sz w:val="24"/>
          <w:szCs w:val="24"/>
          <w:lang w:val="en-US" w:eastAsia="zh-CN" w:bidi="ar-SA"/>
        </w:rPr>
        <w:t>32.</w:t>
      </w:r>
      <w:r>
        <w:rPr>
          <w:rFonts w:hint="eastAsia" w:asciiTheme="minorEastAsia" w:hAnsiTheme="minorEastAsia" w:eastAsiaTheme="minorEastAsia"/>
          <w:sz w:val="24"/>
          <w:szCs w:val="24"/>
          <w:highlight w:val="none"/>
        </w:rPr>
        <w:t>报价文件封面</w:t>
      </w:r>
      <w:bookmarkEnd w:id="2187"/>
      <w:bookmarkEnd w:id="2188"/>
      <w:bookmarkEnd w:id="2274"/>
      <w:bookmarkEnd w:id="2275"/>
      <w:bookmarkEnd w:id="2276"/>
      <w:bookmarkEnd w:id="2277"/>
      <w:bookmarkEnd w:id="2278"/>
      <w:bookmarkEnd w:id="2279"/>
      <w:bookmarkEnd w:id="2280"/>
      <w:bookmarkEnd w:id="2281"/>
      <w:bookmarkEnd w:id="2282"/>
      <w:bookmarkEnd w:id="2283"/>
      <w:bookmarkEnd w:id="2284"/>
      <w:bookmarkEnd w:id="2285"/>
    </w:p>
    <w:p w14:paraId="144EF06C">
      <w:pPr>
        <w:spacing w:after="120" w:line="360" w:lineRule="atLeast"/>
        <w:jc w:val="center"/>
        <w:rPr>
          <w:rFonts w:cs="宋体" w:asciiTheme="minorEastAsia" w:hAnsiTheme="minorEastAsia" w:eastAsiaTheme="minorEastAsia"/>
          <w:sz w:val="32"/>
          <w:szCs w:val="32"/>
          <w:highlight w:val="none"/>
          <w:u w:val="single"/>
        </w:rPr>
      </w:pPr>
    </w:p>
    <w:p w14:paraId="51F536CE">
      <w:pPr>
        <w:spacing w:after="120" w:line="360" w:lineRule="atLeast"/>
        <w:jc w:val="center"/>
        <w:rPr>
          <w:rFonts w:cs="宋体" w:asciiTheme="minorEastAsia" w:hAnsiTheme="minorEastAsia" w:eastAsiaTheme="minorEastAsia"/>
          <w:sz w:val="32"/>
          <w:szCs w:val="32"/>
          <w:highlight w:val="none"/>
          <w:u w:val="single"/>
        </w:rPr>
      </w:pPr>
    </w:p>
    <w:p w14:paraId="5F7D4D6D">
      <w:pPr>
        <w:spacing w:after="120" w:line="360" w:lineRule="atLeast"/>
        <w:jc w:val="center"/>
        <w:rPr>
          <w:rFonts w:hint="eastAsia" w:cs="宋体" w:asciiTheme="minorEastAsia" w:hAnsiTheme="minorEastAsia" w:eastAsiaTheme="minorEastAsia"/>
          <w:b/>
          <w:sz w:val="30"/>
          <w:szCs w:val="30"/>
          <w:highlight w:val="none"/>
          <w:lang w:eastAsia="zh-CN"/>
        </w:rPr>
      </w:pP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rPr>
        <w:t>（项目名称）</w:t>
      </w:r>
      <w:r>
        <w:rPr>
          <w:rFonts w:hint="eastAsia" w:asciiTheme="minorEastAsia" w:hAnsiTheme="minorEastAsia" w:eastAsiaTheme="minorEastAsia"/>
          <w:sz w:val="28"/>
          <w:szCs w:val="28"/>
          <w:highlight w:val="none"/>
          <w:u w:val="single"/>
        </w:rPr>
        <w:t xml:space="preserve">            </w:t>
      </w:r>
      <w:r>
        <w:rPr>
          <w:rFonts w:hint="eastAsia" w:asciiTheme="minorEastAsia" w:hAnsiTheme="minorEastAsia" w:eastAsiaTheme="minorEastAsia"/>
          <w:sz w:val="28"/>
          <w:szCs w:val="28"/>
          <w:highlight w:val="none"/>
          <w:lang w:eastAsia="zh-CN"/>
        </w:rPr>
        <w:t>标包询比</w:t>
      </w:r>
    </w:p>
    <w:p w14:paraId="40D5DE22">
      <w:pPr>
        <w:jc w:val="center"/>
        <w:rPr>
          <w:rFonts w:cs="宋体" w:asciiTheme="minorEastAsia" w:hAnsiTheme="minorEastAsia" w:eastAsiaTheme="minorEastAsia"/>
          <w:sz w:val="28"/>
          <w:szCs w:val="28"/>
          <w:highlight w:val="none"/>
        </w:rPr>
      </w:pPr>
    </w:p>
    <w:p w14:paraId="03C011B6">
      <w:pPr>
        <w:jc w:val="center"/>
        <w:rPr>
          <w:rFonts w:cs="宋体" w:asciiTheme="minorEastAsia" w:hAnsiTheme="minorEastAsia" w:eastAsiaTheme="minorEastAsia"/>
          <w:szCs w:val="21"/>
          <w:highlight w:val="none"/>
        </w:rPr>
      </w:pPr>
    </w:p>
    <w:p w14:paraId="4CF138D6">
      <w:pPr>
        <w:jc w:val="center"/>
        <w:rPr>
          <w:rFonts w:cs="宋体" w:asciiTheme="minorEastAsia" w:hAnsiTheme="minorEastAsia" w:eastAsiaTheme="minorEastAsia"/>
          <w:szCs w:val="21"/>
          <w:highlight w:val="none"/>
        </w:rPr>
      </w:pPr>
    </w:p>
    <w:p w14:paraId="5834E5DD">
      <w:pPr>
        <w:jc w:val="center"/>
        <w:rPr>
          <w:rFonts w:cs="宋体" w:asciiTheme="minorEastAsia" w:hAnsiTheme="minorEastAsia" w:eastAsiaTheme="minorEastAsia"/>
          <w:szCs w:val="21"/>
          <w:highlight w:val="none"/>
        </w:rPr>
      </w:pPr>
    </w:p>
    <w:p w14:paraId="5A9284AC">
      <w:pPr>
        <w:spacing w:after="120"/>
        <w:jc w:val="center"/>
        <w:rPr>
          <w:rFonts w:cs="宋体" w:asciiTheme="minorEastAsia" w:hAnsiTheme="minorEastAsia" w:eastAsiaTheme="minorEastAsia"/>
          <w:b/>
          <w:sz w:val="36"/>
          <w:szCs w:val="36"/>
          <w:highlight w:val="none"/>
        </w:rPr>
      </w:pPr>
      <w:r>
        <w:rPr>
          <w:rFonts w:hint="eastAsia" w:cs="宋体" w:asciiTheme="minorEastAsia" w:hAnsiTheme="minorEastAsia" w:eastAsiaTheme="minorEastAsia"/>
          <w:b/>
          <w:sz w:val="36"/>
          <w:szCs w:val="36"/>
          <w:highlight w:val="none"/>
          <w:lang w:eastAsia="zh-CN"/>
        </w:rPr>
        <w:t>响应文件</w:t>
      </w:r>
      <w:r>
        <w:rPr>
          <w:rFonts w:hint="eastAsia" w:cs="宋体" w:asciiTheme="minorEastAsia" w:hAnsiTheme="minorEastAsia" w:eastAsiaTheme="minorEastAsia"/>
          <w:b/>
          <w:sz w:val="36"/>
          <w:szCs w:val="36"/>
          <w:highlight w:val="none"/>
        </w:rPr>
        <w:t>【报价文件】部分</w:t>
      </w:r>
    </w:p>
    <w:p w14:paraId="6D67D152">
      <w:pPr>
        <w:spacing w:after="120"/>
        <w:jc w:val="center"/>
        <w:rPr>
          <w:rFonts w:cs="宋体" w:asciiTheme="minorEastAsia" w:hAnsiTheme="minorEastAsia" w:eastAsiaTheme="minorEastAsia"/>
          <w:b/>
          <w:sz w:val="32"/>
          <w:szCs w:val="32"/>
          <w:highlight w:val="none"/>
        </w:rPr>
      </w:pPr>
    </w:p>
    <w:p w14:paraId="08CC2DC2">
      <w:pPr>
        <w:spacing w:after="120"/>
        <w:jc w:val="center"/>
        <w:rPr>
          <w:rFonts w:cs="宋体" w:asciiTheme="minorEastAsia" w:hAnsiTheme="minorEastAsia" w:eastAsiaTheme="minorEastAsia"/>
          <w:b/>
          <w:sz w:val="32"/>
          <w:szCs w:val="32"/>
          <w:highlight w:val="none"/>
        </w:rPr>
      </w:pPr>
    </w:p>
    <w:p w14:paraId="4A44CB20">
      <w:pPr>
        <w:spacing w:after="120"/>
        <w:jc w:val="center"/>
        <w:rPr>
          <w:rFonts w:cs="宋体" w:asciiTheme="minorEastAsia" w:hAnsiTheme="minorEastAsia" w:eastAsiaTheme="minorEastAsia"/>
          <w:b/>
          <w:sz w:val="32"/>
          <w:szCs w:val="32"/>
          <w:highlight w:val="none"/>
        </w:rPr>
      </w:pPr>
    </w:p>
    <w:p w14:paraId="7BB53FB0">
      <w:pPr>
        <w:spacing w:after="120"/>
        <w:jc w:val="center"/>
        <w:rPr>
          <w:rFonts w:cs="宋体" w:asciiTheme="minorEastAsia" w:hAnsiTheme="minorEastAsia" w:eastAsiaTheme="minorEastAsia"/>
          <w:b/>
          <w:sz w:val="32"/>
          <w:szCs w:val="32"/>
          <w:highlight w:val="none"/>
        </w:rPr>
      </w:pPr>
    </w:p>
    <w:p w14:paraId="0BE348FC">
      <w:pPr>
        <w:spacing w:after="120"/>
        <w:jc w:val="center"/>
        <w:rPr>
          <w:rFonts w:cs="宋体" w:asciiTheme="minorEastAsia" w:hAnsiTheme="minorEastAsia" w:eastAsiaTheme="minorEastAsia"/>
          <w:b/>
          <w:sz w:val="32"/>
          <w:szCs w:val="32"/>
          <w:highlight w:val="none"/>
        </w:rPr>
      </w:pPr>
    </w:p>
    <w:p w14:paraId="03EED9A3">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lang w:eastAsia="zh-CN"/>
        </w:rPr>
        <w:t>供应商</w:t>
      </w:r>
      <w:r>
        <w:rPr>
          <w:rFonts w:hint="eastAsia" w:asciiTheme="minorEastAsia" w:hAnsiTheme="minorEastAsia" w:eastAsiaTheme="minorEastAsia"/>
          <w:sz w:val="24"/>
          <w:szCs w:val="21"/>
          <w:highlight w:val="none"/>
        </w:rPr>
        <w:t>名称：</w:t>
      </w:r>
      <w:r>
        <w:rPr>
          <w:rFonts w:hint="eastAsia" w:asciiTheme="minorEastAsia" w:hAnsiTheme="minorEastAsia" w:eastAsiaTheme="minorEastAsia"/>
          <w:sz w:val="24"/>
          <w:szCs w:val="21"/>
          <w:highlight w:val="none"/>
          <w:u w:val="single"/>
        </w:rPr>
        <w:t xml:space="preserve">　　　　　　　　           </w:t>
      </w:r>
    </w:p>
    <w:p w14:paraId="1A2BCC70">
      <w:pPr>
        <w:keepNext w:val="0"/>
        <w:keepLines w:val="0"/>
        <w:pageBreakBefore w:val="0"/>
        <w:widowControl w:val="0"/>
        <w:kinsoku/>
        <w:wordWrap/>
        <w:overflowPunct/>
        <w:topLinePunct w:val="0"/>
        <w:autoSpaceDE/>
        <w:autoSpaceDN/>
        <w:bidi w:val="0"/>
        <w:adjustRightInd/>
        <w:snapToGrid/>
        <w:spacing w:before="157" w:beforeLines="50" w:after="157" w:afterLines="50" w:line="440" w:lineRule="exact"/>
        <w:ind w:left="0" w:leftChars="0" w:firstLine="1680" w:firstLineChars="700"/>
        <w:textAlignment w:val="auto"/>
        <w:rPr>
          <w:rFonts w:asciiTheme="minorEastAsia" w:hAnsiTheme="minorEastAsia" w:eastAsiaTheme="minorEastAsia"/>
          <w:sz w:val="24"/>
          <w:szCs w:val="21"/>
          <w:highlight w:val="none"/>
        </w:rPr>
      </w:pP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年</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月</w:t>
      </w:r>
      <w:r>
        <w:rPr>
          <w:rFonts w:hint="eastAsia" w:asciiTheme="minorEastAsia" w:hAnsiTheme="minorEastAsia" w:eastAsiaTheme="minorEastAsia"/>
          <w:sz w:val="24"/>
          <w:szCs w:val="21"/>
          <w:highlight w:val="none"/>
          <w:u w:val="single"/>
        </w:rPr>
        <w:t>　　</w:t>
      </w:r>
      <w:r>
        <w:rPr>
          <w:rFonts w:hint="eastAsia" w:asciiTheme="minorEastAsia" w:hAnsiTheme="minorEastAsia" w:eastAsiaTheme="minorEastAsia"/>
          <w:sz w:val="24"/>
          <w:szCs w:val="21"/>
          <w:highlight w:val="none"/>
          <w:u w:val="single"/>
          <w:lang w:val="en-US" w:eastAsia="zh-CN"/>
        </w:rPr>
        <w:t xml:space="preserve">   </w:t>
      </w:r>
      <w:r>
        <w:rPr>
          <w:rFonts w:hint="eastAsia" w:asciiTheme="minorEastAsia" w:hAnsiTheme="minorEastAsia" w:eastAsiaTheme="minorEastAsia"/>
          <w:sz w:val="24"/>
          <w:szCs w:val="21"/>
          <w:highlight w:val="none"/>
          <w:u w:val="single"/>
        </w:rPr>
        <w:t>　　</w:t>
      </w:r>
      <w:r>
        <w:rPr>
          <w:rFonts w:hint="eastAsia" w:cs="宋体" w:asciiTheme="minorEastAsia" w:hAnsiTheme="minorEastAsia" w:eastAsiaTheme="minorEastAsia"/>
          <w:sz w:val="24"/>
          <w:highlight w:val="none"/>
        </w:rPr>
        <w:t>日</w:t>
      </w:r>
    </w:p>
    <w:p w14:paraId="2867E061">
      <w:pPr>
        <w:adjustRightInd w:val="0"/>
        <w:snapToGrid w:val="0"/>
        <w:spacing w:line="440" w:lineRule="exact"/>
        <w:jc w:val="center"/>
        <w:rPr>
          <w:rFonts w:cs="宋体" w:asciiTheme="minorEastAsia" w:hAnsiTheme="minorEastAsia" w:eastAsiaTheme="minorEastAsia"/>
          <w:sz w:val="24"/>
          <w:highlight w:val="none"/>
        </w:rPr>
      </w:pPr>
    </w:p>
    <w:p w14:paraId="2823A46A">
      <w:pPr>
        <w:rPr>
          <w:highlight w:val="none"/>
        </w:rPr>
      </w:pPr>
    </w:p>
    <w:p w14:paraId="5E61044D">
      <w:pPr>
        <w:rPr>
          <w:highlight w:val="none"/>
        </w:rPr>
      </w:pPr>
    </w:p>
    <w:p w14:paraId="4FC8EB96">
      <w:pPr>
        <w:rPr>
          <w:highlight w:val="none"/>
        </w:rPr>
      </w:pPr>
    </w:p>
    <w:p w14:paraId="4EE27A55">
      <w:pPr>
        <w:topLinePunct/>
        <w:spacing w:line="440" w:lineRule="exact"/>
        <w:jc w:val="left"/>
        <w:rPr>
          <w:rFonts w:hint="eastAsia" w:asciiTheme="minorEastAsia" w:hAnsiTheme="minorEastAsia" w:eastAsiaTheme="minorEastAsia"/>
          <w:sz w:val="24"/>
          <w:szCs w:val="24"/>
          <w:highlight w:val="none"/>
        </w:rPr>
        <w:sectPr>
          <w:pgSz w:w="11906" w:h="16838"/>
          <w:pgMar w:top="1440" w:right="1797" w:bottom="1440" w:left="1797" w:header="851" w:footer="992" w:gutter="0"/>
          <w:pgNumType w:fmt="decimal"/>
          <w:cols w:space="720" w:num="1"/>
          <w:docGrid w:type="lines" w:linePitch="312" w:charSpace="0"/>
        </w:sectPr>
      </w:pPr>
      <w:r>
        <w:rPr>
          <w:rFonts w:hint="eastAsia" w:asciiTheme="minorEastAsia" w:hAnsiTheme="minorEastAsia" w:eastAsiaTheme="minorEastAsia"/>
          <w:b/>
          <w:highlight w:val="none"/>
        </w:rPr>
        <w:t>编制要求</w:t>
      </w:r>
      <w:r>
        <w:rPr>
          <w:rFonts w:hint="eastAsia" w:asciiTheme="minorEastAsia" w:hAnsiTheme="minorEastAsia" w:eastAsiaTheme="minorEastAsia"/>
          <w:highlight w:val="none"/>
        </w:rPr>
        <w:t>：</w:t>
      </w:r>
      <w:r>
        <w:rPr>
          <w:rFonts w:hint="eastAsia" w:eastAsiaTheme="minorEastAsia"/>
          <w:highlight w:val="none"/>
          <w:lang w:eastAsia="zh-CN"/>
        </w:rPr>
        <w:t>供应商</w:t>
      </w:r>
      <w:r>
        <w:rPr>
          <w:rFonts w:hint="eastAsia"/>
          <w:highlight w:val="none"/>
        </w:rPr>
        <w:t>可以根据实际情况对本文件进行调整和修改，但应满足</w:t>
      </w:r>
      <w:r>
        <w:rPr>
          <w:rFonts w:hint="eastAsia" w:eastAsia="宋体"/>
          <w:highlight w:val="none"/>
          <w:lang w:eastAsia="zh-CN"/>
        </w:rPr>
        <w:t>询比文件</w:t>
      </w:r>
      <w:r>
        <w:rPr>
          <w:rFonts w:hint="eastAsia"/>
          <w:highlight w:val="none"/>
        </w:rPr>
        <w:t>对本文件的要求。</w:t>
      </w:r>
      <w:bookmarkStart w:id="2286" w:name="_Toc17754"/>
      <w:bookmarkStart w:id="2287" w:name="_Toc475472694"/>
      <w:bookmarkStart w:id="2288" w:name="_Toc447265349"/>
      <w:bookmarkStart w:id="2289" w:name="_Toc11958"/>
      <w:bookmarkStart w:id="2290" w:name="_Toc447265635"/>
    </w:p>
    <w:bookmarkEnd w:id="2286"/>
    <w:bookmarkEnd w:id="2287"/>
    <w:bookmarkEnd w:id="2288"/>
    <w:bookmarkEnd w:id="2289"/>
    <w:bookmarkEnd w:id="2290"/>
    <w:p w14:paraId="2D0FC60F">
      <w:pPr>
        <w:pStyle w:val="36"/>
        <w:keepNext w:val="0"/>
        <w:keepLines w:val="0"/>
        <w:pageBreakBefore w:val="0"/>
        <w:widowControl w:val="0"/>
        <w:numPr>
          <w:ilvl w:val="0"/>
          <w:numId w:val="0"/>
        </w:numPr>
        <w:tabs>
          <w:tab w:val="left" w:pos="588"/>
        </w:tabs>
        <w:kinsoku/>
        <w:wordWrap/>
        <w:overflowPunct/>
        <w:topLinePunct w:val="0"/>
        <w:autoSpaceDE/>
        <w:autoSpaceDN/>
        <w:bidi w:val="0"/>
        <w:adjustRightInd/>
        <w:snapToGrid w:val="0"/>
        <w:spacing w:before="120" w:after="120" w:line="440" w:lineRule="exact"/>
        <w:ind w:left="425" w:leftChars="0" w:hanging="425" w:firstLineChars="0"/>
        <w:jc w:val="left"/>
        <w:textAlignment w:val="auto"/>
        <w:outlineLvl w:val="1"/>
        <w:rPr>
          <w:rFonts w:hint="eastAsia" w:cs="Times New Roman" w:asciiTheme="minorEastAsia" w:hAnsiTheme="minorEastAsia" w:eastAsiaTheme="minorEastAsia"/>
          <w:b/>
          <w:bCs/>
          <w:kern w:val="2"/>
          <w:sz w:val="24"/>
          <w:szCs w:val="24"/>
          <w:lang w:val="en-US" w:eastAsia="zh-CN" w:bidi="ar-SA"/>
        </w:rPr>
      </w:pPr>
      <w:bookmarkStart w:id="2291" w:name="_Toc18177"/>
      <w:bookmarkStart w:id="2292" w:name="_Toc13489"/>
      <w:bookmarkStart w:id="2293" w:name="_Toc6067"/>
      <w:bookmarkStart w:id="2294" w:name="_Toc20597"/>
      <w:bookmarkStart w:id="2295" w:name="_Toc2686"/>
      <w:bookmarkStart w:id="2296" w:name="_Toc14199"/>
      <w:bookmarkStart w:id="2297" w:name="_Toc20844"/>
      <w:bookmarkStart w:id="2298" w:name="_Toc26008"/>
      <w:bookmarkStart w:id="2299" w:name="_Toc32209"/>
      <w:bookmarkStart w:id="2300" w:name="_Toc4112"/>
      <w:bookmarkStart w:id="2301" w:name="_Toc3520"/>
      <w:r>
        <w:rPr>
          <w:rFonts w:hint="eastAsia" w:cs="Times New Roman" w:asciiTheme="minorEastAsia" w:hAnsiTheme="minorEastAsia" w:eastAsiaTheme="minorEastAsia"/>
          <w:b/>
          <w:bCs/>
          <w:kern w:val="2"/>
          <w:sz w:val="24"/>
          <w:szCs w:val="24"/>
          <w:lang w:val="en-US" w:eastAsia="zh-CN" w:bidi="ar-SA"/>
        </w:rPr>
        <w:t>33.响应一览表</w:t>
      </w:r>
      <w:bookmarkEnd w:id="2291"/>
      <w:bookmarkEnd w:id="2292"/>
      <w:bookmarkEnd w:id="2293"/>
      <w:bookmarkEnd w:id="2294"/>
      <w:bookmarkEnd w:id="2295"/>
      <w:bookmarkEnd w:id="2296"/>
      <w:bookmarkEnd w:id="2297"/>
      <w:bookmarkEnd w:id="2298"/>
      <w:bookmarkEnd w:id="2299"/>
      <w:bookmarkEnd w:id="2300"/>
      <w:bookmarkEnd w:id="2301"/>
    </w:p>
    <w:p w14:paraId="166BE15A">
      <w:pPr>
        <w:jc w:val="center"/>
        <w:rPr>
          <w:rFonts w:cs="宋体" w:asciiTheme="minorEastAsia" w:hAnsiTheme="minorEastAsia" w:eastAsiaTheme="minorEastAsia"/>
          <w:szCs w:val="21"/>
        </w:rPr>
      </w:pPr>
      <w:r>
        <w:rPr>
          <w:rFonts w:hint="eastAsia" w:cs="宋体" w:asciiTheme="minorEastAsia" w:hAnsiTheme="minorEastAsia" w:eastAsiaTheme="minorEastAsia"/>
          <w:b/>
          <w:sz w:val="24"/>
          <w:lang w:val="en-US" w:eastAsia="zh-CN"/>
        </w:rPr>
        <w:t>响应</w:t>
      </w:r>
      <w:r>
        <w:rPr>
          <w:rFonts w:hint="eastAsia" w:cs="宋体" w:asciiTheme="minorEastAsia" w:hAnsiTheme="minorEastAsia" w:eastAsiaTheme="minorEastAsia"/>
          <w:b/>
          <w:sz w:val="24"/>
        </w:rPr>
        <w:t>一览表</w:t>
      </w:r>
    </w:p>
    <w:p w14:paraId="27CF35C0">
      <w:pPr>
        <w:snapToGrid w:val="0"/>
        <w:spacing w:line="440" w:lineRule="exact"/>
        <w:rPr>
          <w:rFonts w:hint="eastAsia" w:ascii="宋体" w:hAnsi="宋体" w:eastAsia="宋体" w:cs="宋体"/>
          <w:sz w:val="21"/>
          <w:szCs w:val="21"/>
        </w:rPr>
      </w:pPr>
      <w:r>
        <w:rPr>
          <w:rFonts w:hint="eastAsia" w:ascii="宋体" w:hAnsi="宋体" w:eastAsia="宋体" w:cs="宋体"/>
          <w:sz w:val="21"/>
          <w:szCs w:val="21"/>
        </w:rPr>
        <w:t>项目名称：  项目编号</w:t>
      </w:r>
      <w:r>
        <w:rPr>
          <w:rFonts w:hint="eastAsia" w:ascii="宋体" w:hAnsi="宋体" w:cs="宋体"/>
          <w:sz w:val="21"/>
          <w:szCs w:val="21"/>
          <w:lang w:eastAsia="zh-CN"/>
        </w:rPr>
        <w:t>：</w:t>
      </w:r>
      <w:r>
        <w:rPr>
          <w:rFonts w:hint="eastAsia" w:ascii="宋体" w:hAnsi="宋体" w:eastAsia="宋体" w:cs="宋体"/>
          <w:sz w:val="21"/>
          <w:szCs w:val="21"/>
        </w:rPr>
        <w:t xml:space="preserve"> 分包（标包）：</w:t>
      </w:r>
      <w:r>
        <w:rPr>
          <w:rFonts w:hint="eastAsia" w:ascii="宋体" w:hAnsi="宋体" w:eastAsia="宋体" w:cs="宋体"/>
          <w:sz w:val="21"/>
          <w:szCs w:val="21"/>
          <w:u w:val="single"/>
        </w:rPr>
        <w:t xml:space="preserve">     </w:t>
      </w:r>
      <w:r>
        <w:rPr>
          <w:rFonts w:hint="eastAsia" w:ascii="宋体" w:hAnsi="宋体" w:cs="宋体"/>
          <w:sz w:val="21"/>
          <w:szCs w:val="21"/>
          <w:u w:val="single"/>
          <w:lang w:val="en-US" w:eastAsia="zh-CN"/>
        </w:rPr>
        <w:t>/</w:t>
      </w:r>
      <w:r>
        <w:rPr>
          <w:rFonts w:hint="eastAsia" w:ascii="宋体" w:hAnsi="宋体" w:eastAsia="宋体" w:cs="宋体"/>
          <w:sz w:val="21"/>
          <w:szCs w:val="21"/>
        </w:rPr>
        <w:t xml:space="preserve">  货币单位：元人民币 </w:t>
      </w:r>
    </w:p>
    <w:tbl>
      <w:tblPr>
        <w:tblStyle w:val="39"/>
        <w:tblW w:w="0" w:type="auto"/>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2336"/>
        <w:gridCol w:w="1577"/>
        <w:gridCol w:w="1563"/>
        <w:gridCol w:w="1228"/>
        <w:gridCol w:w="1287"/>
        <w:gridCol w:w="5254"/>
      </w:tblGrid>
      <w:tr w14:paraId="328B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C3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B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采购内容</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999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不含税总价最高限价（元）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A6B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不含税总价报价（元）</w:t>
            </w:r>
          </w:p>
        </w:tc>
        <w:tc>
          <w:tcPr>
            <w:tcW w:w="1228" w:type="dxa"/>
            <w:tcBorders>
              <w:top w:val="single" w:color="000000" w:sz="4" w:space="0"/>
              <w:left w:val="single" w:color="000000" w:sz="4" w:space="0"/>
              <w:bottom w:val="single" w:color="000000" w:sz="4" w:space="0"/>
              <w:right w:val="single" w:color="auto" w:sz="4" w:space="0"/>
            </w:tcBorders>
            <w:shd w:val="clear" w:color="auto" w:fill="auto"/>
            <w:vAlign w:val="center"/>
          </w:tcPr>
          <w:p w14:paraId="1C3216F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税率（%）</w:t>
            </w:r>
          </w:p>
        </w:tc>
        <w:tc>
          <w:tcPr>
            <w:tcW w:w="1287" w:type="dxa"/>
            <w:tcBorders>
              <w:top w:val="single" w:color="000000" w:sz="4" w:space="0"/>
              <w:left w:val="single" w:color="auto" w:sz="4" w:space="0"/>
              <w:bottom w:val="single" w:color="000000" w:sz="4" w:space="0"/>
              <w:right w:val="single" w:color="auto" w:sz="4" w:space="0"/>
            </w:tcBorders>
            <w:shd w:val="clear" w:color="auto" w:fill="auto"/>
            <w:vAlign w:val="center"/>
          </w:tcPr>
          <w:p w14:paraId="6CF09D1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含税总价报价（元）</w:t>
            </w:r>
          </w:p>
        </w:tc>
        <w:tc>
          <w:tcPr>
            <w:tcW w:w="5254" w:type="dxa"/>
            <w:tcBorders>
              <w:top w:val="single" w:color="000000" w:sz="4" w:space="0"/>
              <w:left w:val="single" w:color="auto" w:sz="4" w:space="0"/>
              <w:bottom w:val="single" w:color="000000" w:sz="4" w:space="0"/>
              <w:right w:val="single" w:color="000000" w:sz="4" w:space="0"/>
            </w:tcBorders>
            <w:shd w:val="clear" w:color="auto" w:fill="auto"/>
            <w:vAlign w:val="center"/>
          </w:tcPr>
          <w:p w14:paraId="1AEF614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0A63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6" w:hRule="atLeast"/>
        </w:trPr>
        <w:tc>
          <w:tcPr>
            <w:tcW w:w="828" w:type="dxa"/>
            <w:tcBorders>
              <w:top w:val="single" w:color="000000" w:sz="4" w:space="0"/>
              <w:left w:val="single" w:color="000000" w:sz="4" w:space="0"/>
              <w:bottom w:val="nil"/>
              <w:right w:val="single" w:color="000000" w:sz="4" w:space="0"/>
            </w:tcBorders>
            <w:shd w:val="clear" w:color="auto" w:fill="auto"/>
            <w:vAlign w:val="center"/>
          </w:tcPr>
          <w:p w14:paraId="4C9FC64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2336" w:type="dxa"/>
            <w:tcBorders>
              <w:top w:val="single" w:color="000000" w:sz="4" w:space="0"/>
              <w:left w:val="single" w:color="000000" w:sz="4" w:space="0"/>
              <w:bottom w:val="nil"/>
              <w:right w:val="single" w:color="000000" w:sz="4" w:space="0"/>
            </w:tcBorders>
            <w:shd w:val="clear" w:color="auto" w:fill="auto"/>
            <w:vAlign w:val="center"/>
          </w:tcPr>
          <w:p w14:paraId="6967017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2025年中国电信遵义分公司湄潭县中西医结合医院床旁结算系统开发服务采购</w:t>
            </w:r>
          </w:p>
        </w:tc>
        <w:tc>
          <w:tcPr>
            <w:tcW w:w="1577" w:type="dxa"/>
            <w:tcBorders>
              <w:top w:val="single" w:color="000000" w:sz="4" w:space="0"/>
              <w:left w:val="single" w:color="000000" w:sz="4" w:space="0"/>
              <w:bottom w:val="nil"/>
              <w:right w:val="single" w:color="000000" w:sz="4" w:space="0"/>
            </w:tcBorders>
            <w:shd w:val="clear" w:color="auto" w:fill="auto"/>
            <w:vAlign w:val="center"/>
          </w:tcPr>
          <w:p w14:paraId="25DA2948">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default" w:ascii="宋体" w:hAnsi="宋体" w:eastAsia="宋体" w:cs="宋体"/>
                <w:i w:val="0"/>
                <w:iCs w:val="0"/>
                <w:color w:val="000000"/>
                <w:kern w:val="0"/>
                <w:sz w:val="21"/>
                <w:szCs w:val="21"/>
                <w:u w:val="none"/>
                <w:lang w:val="en-US" w:eastAsia="zh-CN" w:bidi="ar"/>
              </w:rPr>
              <w:t>283018.87</w:t>
            </w:r>
          </w:p>
        </w:tc>
        <w:tc>
          <w:tcPr>
            <w:tcW w:w="1563" w:type="dxa"/>
            <w:tcBorders>
              <w:top w:val="single" w:color="000000" w:sz="4" w:space="0"/>
              <w:left w:val="single" w:color="000000" w:sz="4" w:space="0"/>
              <w:bottom w:val="nil"/>
              <w:right w:val="single" w:color="000000" w:sz="4" w:space="0"/>
            </w:tcBorders>
            <w:shd w:val="clear" w:color="auto" w:fill="auto"/>
            <w:vAlign w:val="center"/>
          </w:tcPr>
          <w:p w14:paraId="135392A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28" w:type="dxa"/>
            <w:tcBorders>
              <w:top w:val="single" w:color="000000" w:sz="4" w:space="0"/>
              <w:left w:val="single" w:color="000000" w:sz="4" w:space="0"/>
              <w:bottom w:val="nil"/>
              <w:right w:val="single" w:color="auto" w:sz="4" w:space="0"/>
            </w:tcBorders>
            <w:shd w:val="clear" w:color="auto" w:fill="auto"/>
            <w:vAlign w:val="center"/>
          </w:tcPr>
          <w:p w14:paraId="213A4C3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1287" w:type="dxa"/>
            <w:tcBorders>
              <w:top w:val="single" w:color="000000" w:sz="4" w:space="0"/>
              <w:left w:val="single" w:color="auto" w:sz="4" w:space="0"/>
              <w:bottom w:val="nil"/>
              <w:right w:val="single" w:color="auto" w:sz="4" w:space="0"/>
            </w:tcBorders>
            <w:shd w:val="clear" w:color="auto" w:fill="auto"/>
            <w:vAlign w:val="center"/>
          </w:tcPr>
          <w:p w14:paraId="523A7A6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4" w:type="dxa"/>
            <w:tcBorders>
              <w:top w:val="single" w:color="000000" w:sz="4" w:space="0"/>
              <w:left w:val="single" w:color="auto" w:sz="4" w:space="0"/>
              <w:bottom w:val="nil"/>
              <w:right w:val="single" w:color="000000" w:sz="4" w:space="0"/>
            </w:tcBorders>
            <w:shd w:val="clear" w:color="auto" w:fill="auto"/>
            <w:vAlign w:val="center"/>
          </w:tcPr>
          <w:p w14:paraId="7D1787A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r>
      <w:tr w14:paraId="779B3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trPr>
        <w:tc>
          <w:tcPr>
            <w:tcW w:w="1407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B2E04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p w14:paraId="1D3D999E">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（1）本项目所需相关服务的报价，应包含技术服务费、资料费、税费、管理费、培训费等一切费用。</w:t>
            </w:r>
          </w:p>
          <w:p w14:paraId="1177F29B">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（2）价格评审时以不含税总价报价进行评审</w:t>
            </w:r>
            <w:r>
              <w:rPr>
                <w:rFonts w:hint="eastAsia" w:ascii="宋体" w:hAnsi="宋体" w:cs="宋体"/>
                <w:i w:val="0"/>
                <w:iCs w:val="0"/>
                <w:color w:val="000000"/>
                <w:kern w:val="0"/>
                <w:sz w:val="21"/>
                <w:szCs w:val="21"/>
                <w:u w:val="none"/>
                <w:lang w:val="en-US" w:eastAsia="zh-CN" w:bidi="ar"/>
              </w:rPr>
              <w:t>。</w:t>
            </w:r>
          </w:p>
        </w:tc>
      </w:tr>
    </w:tbl>
    <w:p w14:paraId="10FA98A2">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供应商</w:t>
      </w:r>
      <w:r>
        <w:rPr>
          <w:rFonts w:hint="eastAsia" w:asciiTheme="minorEastAsia" w:hAnsiTheme="minorEastAsia" w:eastAsiaTheme="minorEastAsia"/>
          <w:szCs w:val="21"/>
        </w:rPr>
        <w:t>名称：</w:t>
      </w:r>
    </w:p>
    <w:p w14:paraId="70AD0F2C">
      <w:pPr>
        <w:snapToGrid w:val="0"/>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 xml:space="preserve">                          日期：XX年XX月XX日</w:t>
      </w:r>
    </w:p>
    <w:p w14:paraId="6F33C040">
      <w:pPr>
        <w:topLinePunct/>
        <w:spacing w:line="440" w:lineRule="exact"/>
        <w:jc w:val="left"/>
        <w:rPr>
          <w:rFonts w:asciiTheme="minorEastAsia" w:hAnsiTheme="minorEastAsia" w:eastAsiaTheme="minorEastAsia"/>
        </w:rPr>
      </w:pPr>
      <w:r>
        <w:rPr>
          <w:rFonts w:hint="eastAsia" w:asciiTheme="minorEastAsia" w:hAnsiTheme="minorEastAsia" w:eastAsiaTheme="minorEastAsia"/>
          <w:b/>
        </w:rPr>
        <w:t>编制要求</w:t>
      </w:r>
      <w:r>
        <w:rPr>
          <w:rFonts w:hint="eastAsia" w:asciiTheme="minorEastAsia" w:hAnsiTheme="minorEastAsia" w:eastAsiaTheme="minorEastAsia"/>
        </w:rPr>
        <w:t>：</w:t>
      </w:r>
    </w:p>
    <w:p w14:paraId="5BDD2B31">
      <w:pPr>
        <w:topLinePunct/>
        <w:spacing w:line="440" w:lineRule="exact"/>
        <w:jc w:val="left"/>
        <w:rPr>
          <w:rFonts w:asciiTheme="minorEastAsia" w:hAnsiTheme="minorEastAsia" w:eastAsiaTheme="minorEastAsia"/>
        </w:rPr>
      </w:pPr>
      <w:r>
        <w:rPr>
          <w:rFonts w:hint="eastAsia" w:asciiTheme="minorEastAsia" w:hAnsiTheme="minorEastAsia" w:eastAsiaTheme="minorEastAsia"/>
        </w:rPr>
        <w:t>1.提供本文件的原件。</w:t>
      </w:r>
    </w:p>
    <w:p w14:paraId="08337E3F">
      <w:pPr>
        <w:topLinePunct/>
        <w:spacing w:line="440" w:lineRule="exact"/>
        <w:jc w:val="left"/>
        <w:rPr>
          <w:rFonts w:asciiTheme="minorEastAsia" w:hAnsiTheme="minorEastAsia" w:eastAsiaTheme="minorEastAsia"/>
          <w:szCs w:val="21"/>
          <w:highlight w:val="none"/>
        </w:rPr>
      </w:pPr>
      <w:r>
        <w:rPr>
          <w:rFonts w:hint="eastAsia" w:asciiTheme="minorEastAsia" w:hAnsiTheme="minorEastAsia" w:eastAsiaTheme="minorEastAsia"/>
        </w:rPr>
        <w:t>2.</w:t>
      </w:r>
      <w:r>
        <w:rPr>
          <w:rFonts w:hint="eastAsia"/>
        </w:rPr>
        <w:t>除本文件允许</w:t>
      </w:r>
      <w:r>
        <w:rPr>
          <w:rFonts w:hint="eastAsia" w:ascii="Times New Roman" w:eastAsia="宋体"/>
          <w:lang w:val="en-US" w:eastAsia="zh-CN"/>
        </w:rPr>
        <w:t>供应商</w:t>
      </w:r>
      <w:r>
        <w:rPr>
          <w:rFonts w:hint="eastAsia"/>
        </w:rPr>
        <w:t>进行填写的内容以外，</w:t>
      </w:r>
      <w:r>
        <w:rPr>
          <w:rFonts w:hint="eastAsia" w:ascii="Times New Roman" w:eastAsia="宋体"/>
          <w:lang w:val="en-US" w:eastAsia="zh-CN"/>
        </w:rPr>
        <w:t>供应商</w:t>
      </w:r>
      <w:r>
        <w:rPr>
          <w:rFonts w:hint="eastAsia"/>
        </w:rPr>
        <w:t>不得对本文件进行修改</w:t>
      </w:r>
      <w:r>
        <w:rPr>
          <w:rFonts w:hint="eastAsia" w:asciiTheme="minorEastAsia" w:hAnsiTheme="minorEastAsia" w:eastAsiaTheme="minorEastAsia"/>
          <w:color w:val="000000"/>
          <w:szCs w:val="21"/>
        </w:rPr>
        <w:t>。</w:t>
      </w:r>
    </w:p>
    <w:p w14:paraId="34C88384">
      <w:pPr>
        <w:pStyle w:val="47"/>
        <w:spacing w:before="240" w:after="120"/>
        <w:rPr>
          <w:rFonts w:hint="eastAsia" w:cs="宋体" w:asciiTheme="minorEastAsia" w:hAnsiTheme="minorEastAsia" w:eastAsiaTheme="minorEastAsia"/>
          <w:b/>
          <w:bCs w:val="0"/>
          <w:kern w:val="0"/>
          <w:sz w:val="28"/>
          <w:szCs w:val="28"/>
          <w:highlight w:val="none"/>
        </w:rPr>
        <w:sectPr>
          <w:pgSz w:w="16838" w:h="11906" w:orient="landscape"/>
          <w:pgMar w:top="1797" w:right="1440" w:bottom="1797" w:left="1440" w:header="851" w:footer="992" w:gutter="0"/>
          <w:pgNumType w:fmt="decimal"/>
          <w:cols w:space="0" w:num="1"/>
          <w:rtlGutter w:val="0"/>
          <w:docGrid w:type="lines" w:linePitch="319" w:charSpace="0"/>
        </w:sectPr>
      </w:pPr>
    </w:p>
    <w:p w14:paraId="2946824C">
      <w:pPr>
        <w:pStyle w:val="47"/>
        <w:spacing w:before="240" w:after="120"/>
        <w:rPr>
          <w:rFonts w:hint="eastAsia" w:cs="宋体" w:asciiTheme="minorEastAsia" w:hAnsiTheme="minorEastAsia" w:eastAsiaTheme="minorEastAsia"/>
          <w:b/>
          <w:bCs w:val="0"/>
          <w:kern w:val="0"/>
          <w:sz w:val="28"/>
          <w:szCs w:val="28"/>
          <w:highlight w:val="none"/>
        </w:rPr>
      </w:pPr>
      <w:bookmarkStart w:id="2302" w:name="_Toc32615"/>
      <w:bookmarkStart w:id="2303" w:name="_Toc17144"/>
      <w:bookmarkStart w:id="2304" w:name="_Toc10996"/>
      <w:bookmarkStart w:id="2305" w:name="_Toc10446"/>
      <w:bookmarkStart w:id="2306" w:name="_Toc30246"/>
      <w:bookmarkStart w:id="2307" w:name="_Toc14431"/>
      <w:bookmarkStart w:id="2308" w:name="_Toc25780"/>
      <w:r>
        <w:rPr>
          <w:rFonts w:hint="eastAsia" w:cs="宋体" w:asciiTheme="minorEastAsia" w:hAnsiTheme="minorEastAsia" w:eastAsiaTheme="minorEastAsia"/>
          <w:b/>
          <w:bCs w:val="0"/>
          <w:kern w:val="0"/>
          <w:sz w:val="28"/>
          <w:szCs w:val="28"/>
          <w:highlight w:val="none"/>
        </w:rPr>
        <w:t>第七章  其他</w:t>
      </w:r>
      <w:bookmarkEnd w:id="2302"/>
      <w:bookmarkEnd w:id="2303"/>
      <w:bookmarkEnd w:id="2304"/>
      <w:bookmarkEnd w:id="2305"/>
      <w:bookmarkEnd w:id="2306"/>
      <w:bookmarkEnd w:id="2307"/>
      <w:bookmarkEnd w:id="2308"/>
    </w:p>
    <w:p w14:paraId="49453739">
      <w:pPr>
        <w:keepNext w:val="0"/>
        <w:keepLines w:val="0"/>
        <w:pageBreakBefore w:val="0"/>
        <w:widowControl w:val="0"/>
        <w:kinsoku/>
        <w:wordWrap/>
        <w:overflowPunct/>
        <w:topLinePunct w:val="0"/>
        <w:autoSpaceDE/>
        <w:autoSpaceDN/>
        <w:bidi w:val="0"/>
        <w:adjustRightInd/>
        <w:snapToGrid/>
        <w:textAlignment w:val="auto"/>
        <w:outlineLvl w:val="9"/>
        <w:rPr>
          <w:rFonts w:asciiTheme="minorEastAsia" w:hAnsiTheme="minorEastAsia" w:eastAsiaTheme="minorEastAsia"/>
          <w:highlight w:val="none"/>
        </w:rPr>
      </w:pPr>
    </w:p>
    <w:p w14:paraId="65189454">
      <w:pPr>
        <w:pStyle w:val="36"/>
        <w:keepNext w:val="0"/>
        <w:keepLines w:val="0"/>
        <w:pageBreakBefore w:val="0"/>
        <w:widowControl w:val="0"/>
        <w:kinsoku/>
        <w:wordWrap/>
        <w:overflowPunct/>
        <w:topLinePunct w:val="0"/>
        <w:autoSpaceDE/>
        <w:autoSpaceDN/>
        <w:bidi w:val="0"/>
        <w:adjustRightInd/>
        <w:snapToGrid w:val="0"/>
        <w:spacing w:before="0" w:after="0" w:line="360" w:lineRule="auto"/>
        <w:ind w:right="84" w:rightChars="40"/>
        <w:textAlignment w:val="auto"/>
        <w:outlineLvl w:val="1"/>
        <w:rPr>
          <w:rFonts w:asciiTheme="minorEastAsia" w:hAnsiTheme="minorEastAsia" w:eastAsiaTheme="minorEastAsia"/>
          <w:sz w:val="28"/>
          <w:szCs w:val="28"/>
          <w:highlight w:val="none"/>
        </w:rPr>
      </w:pPr>
      <w:bookmarkStart w:id="2309" w:name="_Toc5277"/>
      <w:bookmarkStart w:id="2310" w:name="_Toc20127"/>
      <w:bookmarkStart w:id="2311" w:name="_Toc32659"/>
      <w:bookmarkStart w:id="2312" w:name="_Toc26613"/>
      <w:bookmarkStart w:id="2313" w:name="_Toc21785"/>
      <w:bookmarkStart w:id="2314" w:name="_Toc10846"/>
      <w:bookmarkStart w:id="2315" w:name="_Toc9839"/>
      <w:r>
        <w:rPr>
          <w:rFonts w:hint="eastAsia" w:asciiTheme="minorEastAsia" w:hAnsiTheme="minorEastAsia" w:eastAsiaTheme="minorEastAsia"/>
          <w:sz w:val="28"/>
          <w:szCs w:val="28"/>
          <w:highlight w:val="none"/>
        </w:rPr>
        <w:t>中国电信供应商不良行为管理规则</w:t>
      </w:r>
      <w:bookmarkEnd w:id="2309"/>
      <w:bookmarkEnd w:id="2310"/>
      <w:bookmarkEnd w:id="2311"/>
      <w:bookmarkEnd w:id="2312"/>
      <w:bookmarkEnd w:id="2313"/>
      <w:bookmarkEnd w:id="2314"/>
      <w:bookmarkEnd w:id="2315"/>
    </w:p>
    <w:p w14:paraId="4561F165">
      <w:pPr>
        <w:wordWrap w:val="0"/>
        <w:snapToGrid w:val="0"/>
        <w:spacing w:line="360" w:lineRule="auto"/>
        <w:ind w:firstLine="424" w:firstLineChars="202"/>
        <w:jc w:val="left"/>
        <w:rPr>
          <w:highlight w:val="none"/>
        </w:rPr>
      </w:pPr>
      <w:r>
        <w:rPr>
          <w:rFonts w:hint="eastAsia" w:asciiTheme="minorEastAsia" w:hAnsiTheme="minorEastAsia" w:eastAsiaTheme="minorEastAsia"/>
          <w:szCs w:val="21"/>
          <w:highlight w:val="none"/>
        </w:rPr>
        <w:t>本项目将按照最新的《中国电信供应商不良行为管理规则》</w:t>
      </w:r>
      <w:r>
        <w:rPr>
          <w:rFonts w:hint="eastAsia" w:asciiTheme="minorEastAsia" w:hAnsiTheme="minorEastAsia" w:eastAsiaTheme="minorEastAsia"/>
          <w:szCs w:val="21"/>
          <w:highlight w:val="none"/>
          <w:lang w:val="en-US" w:eastAsia="zh-CN"/>
        </w:rPr>
        <w:t>执行</w:t>
      </w:r>
      <w:r>
        <w:rPr>
          <w:rFonts w:hint="eastAsia" w:asciiTheme="minorEastAsia" w:hAnsiTheme="minorEastAsia" w:eastAsiaTheme="minorEastAsia"/>
          <w:szCs w:val="21"/>
          <w:highlight w:val="none"/>
        </w:rPr>
        <w:t>供应商不良行为处理结果，请务必登录</w:t>
      </w:r>
      <w:r>
        <w:rPr>
          <w:highlight w:val="none"/>
        </w:rPr>
        <w:t>中国电信阳光采购网</w:t>
      </w:r>
      <w:r>
        <w:rPr>
          <w:rFonts w:hint="eastAsia"/>
          <w:highlight w:val="none"/>
        </w:rPr>
        <w:t>（</w:t>
      </w:r>
      <w:r>
        <w:rPr>
          <w:rFonts w:asciiTheme="minorEastAsia" w:hAnsiTheme="minorEastAsia" w:eastAsiaTheme="minorEastAsia"/>
          <w:highlight w:val="none"/>
        </w:rPr>
        <w:t>https://caigou.chinatelecom.com.cn</w:t>
      </w:r>
      <w:r>
        <w:rPr>
          <w:rFonts w:hint="eastAsia"/>
          <w:highlight w:val="none"/>
        </w:rPr>
        <w:t>）</w:t>
      </w:r>
      <w:r>
        <w:rPr>
          <w:rFonts w:hint="eastAsia" w:asciiTheme="minorEastAsia" w:hAnsiTheme="minorEastAsia" w:eastAsiaTheme="minorEastAsia"/>
          <w:szCs w:val="21"/>
          <w:highlight w:val="none"/>
        </w:rPr>
        <w:t>查阅《中国电信供应商不良行为管理规则》。</w:t>
      </w:r>
    </w:p>
    <w:p w14:paraId="55D6C06D">
      <w:pPr>
        <w:topLinePunct/>
        <w:spacing w:line="440" w:lineRule="exact"/>
        <w:jc w:val="left"/>
        <w:rPr>
          <w:highlight w:val="none"/>
        </w:rPr>
      </w:pPr>
    </w:p>
    <w:p w14:paraId="326B500E">
      <w:pPr>
        <w:wordWrap w:val="0"/>
        <w:snapToGrid w:val="0"/>
        <w:spacing w:line="360" w:lineRule="auto"/>
        <w:ind w:firstLine="565" w:firstLineChars="202"/>
        <w:jc w:val="left"/>
        <w:rPr>
          <w:sz w:val="28"/>
          <w:szCs w:val="28"/>
        </w:rPr>
      </w:pPr>
    </w:p>
    <w:p w14:paraId="3960F5AE">
      <w:pPr>
        <w:topLinePunct/>
        <w:spacing w:line="440" w:lineRule="exact"/>
        <w:jc w:val="left"/>
        <w:rPr>
          <w:sz w:val="28"/>
          <w:szCs w:val="28"/>
        </w:rPr>
      </w:pPr>
      <w:r>
        <w:rPr>
          <w:rFonts w:hint="eastAsia" w:asciiTheme="minorEastAsia" w:hAnsiTheme="minorEastAsia" w:eastAsiaTheme="minorEastAsia"/>
          <w:color w:val="000000"/>
          <w:szCs w:val="21"/>
        </w:rPr>
        <w:t>。</w:t>
      </w:r>
    </w:p>
    <w:sectPr>
      <w:headerReference r:id="rId9" w:type="default"/>
      <w:pgSz w:w="11906" w:h="16838"/>
      <w:pgMar w:top="1418" w:right="1797" w:bottom="1440" w:left="1797" w:header="851" w:footer="992" w:gutter="0"/>
      <w:pgNumType w:fmt="decimal"/>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98B92">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C00EC">
    <w:pPr>
      <w:pStyle w:val="26"/>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E656D">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id w:val="147483363"/>
                          </w:sdtPr>
                          <w:sdtContent>
                            <w:p w14:paraId="2119055D">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0FAA6D8"/>
                      </w:txbxContent>
                    </wps:txbx>
                    <wps:bodyPr vert="horz" wrap="none" lIns="0" tIns="0" rIns="0" bIns="0" anchor="t" anchorCtr="0" upright="0">
                      <a:spAutoFit/>
                    </wps:bodyPr>
                  </wps:wsp>
                </a:graphicData>
              </a:graphic>
            </wp:anchor>
          </w:drawing>
        </mc:Choice>
        <mc:Fallback>
          <w:pict>
            <v:shape id="文本框 12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K8+68egBAADJ&#10;AwAADgAAAAAAAAABACAAAAAeAQAAZHJzL2Uyb0RvYy54bWxQSwUGAAAAAAYABgBZAQAAeAUAAAAA&#10;">
              <v:fill on="f" focussize="0,0"/>
              <v:stroke on="f"/>
              <v:imagedata o:title=""/>
              <o:lock v:ext="edit" aspectratio="f"/>
              <v:textbox inset="0mm,0mm,0mm,0mm" style="mso-fit-shape-to-text:t;">
                <w:txbxContent>
                  <w:sdt>
                    <w:sdtPr>
                      <w:id w:val="147483363"/>
                    </w:sdtPr>
                    <w:sdtContent>
                      <w:p w14:paraId="2119055D">
                        <w:pPr>
                          <w:pStyle w:val="26"/>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sdtContent>
                  </w:sdt>
                  <w:p w14:paraId="40FAA6D8"/>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04A01">
    <w:pPr>
      <w:jc w:val="center"/>
      <w:rPr>
        <w:rFonts w:hint="eastAsia" w:asciiTheme="minorEastAsia" w:hAnsiTheme="minorEastAsia" w:eastAsiaTheme="minorEastAsia"/>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sdt>
                          <w:sdtPr>
                            <w:rPr>
                              <w:rFonts w:asciiTheme="minorEastAsia" w:hAnsiTheme="minorEastAsia" w:eastAsiaTheme="minorEastAsia"/>
                              <w:sz w:val="18"/>
                              <w:szCs w:val="18"/>
                            </w:rPr>
                            <w:id w:val="147463004"/>
                          </w:sdtPr>
                          <w:sdtEndPr>
                            <w:rPr>
                              <w:rFonts w:asciiTheme="minorEastAsia" w:hAnsiTheme="minorEastAsia" w:eastAsiaTheme="minorEastAsia"/>
                              <w:sz w:val="18"/>
                              <w:szCs w:val="18"/>
                            </w:rPr>
                          </w:sdtEndPr>
                          <w:sdtContent>
                            <w:p w14:paraId="07DD7231">
                              <w:pPr>
                                <w:jc w:val="center"/>
                                <w:rPr>
                                  <w:rFonts w:asciiTheme="minorEastAsia" w:hAnsiTheme="minorEastAsia" w:eastAsiaTheme="minorEastAsia"/>
                                  <w:sz w:val="18"/>
                                  <w:szCs w:val="18"/>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PAGE   \* MERGEFORMAT</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9</w:t>
                              </w:r>
                              <w:r>
                                <w:rPr>
                                  <w:rFonts w:asciiTheme="minorEastAsia" w:hAnsiTheme="minorEastAsia" w:eastAsiaTheme="minorEastAsia"/>
                                  <w:sz w:val="18"/>
                                  <w:szCs w:val="18"/>
                                </w:rPr>
                                <w:fldChar w:fldCharType="end"/>
                              </w:r>
                            </w:p>
                          </w:sdtContent>
                        </w:sdt>
                        <w:p w14:paraId="55452781">
                          <w:pPr>
                            <w:rPr>
                              <w:rFonts w:asciiTheme="minorEastAsia" w:hAnsiTheme="minorEastAsia" w:eastAsiaTheme="minorEastAsia"/>
                              <w:sz w:val="18"/>
                              <w:szCs w:val="18"/>
                            </w:rPr>
                          </w:pPr>
                        </w:p>
                      </w:txbxContent>
                    </wps:txbx>
                    <wps:bodyPr vert="horz" wrap="none" lIns="0" tIns="0" rIns="0" bIns="0" anchor="t" anchorCtr="0" upright="0">
                      <a:spAutoFit/>
                    </wps:bodyPr>
                  </wps:wsp>
                </a:graphicData>
              </a:graphic>
            </wp:anchor>
          </w:drawing>
        </mc:Choice>
        <mc:Fallback>
          <w:pict>
            <v:shape id="文本框 12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OqXm5zwAAAAUBAAAP&#10;AAAAAAAAAAEAIAAAACIAAABkcnMvZG93bnJldi54bWxQSwECFAAUAAAACACHTuJAOMBVSOgBAADJ&#10;AwAADgAAAAAAAAABACAAAAAeAQAAZHJzL2Uyb0RvYy54bWxQSwUGAAAAAAYABgBZAQAAeAUAAAAA&#10;">
              <v:fill on="f" focussize="0,0"/>
              <v:stroke on="f"/>
              <v:imagedata o:title=""/>
              <o:lock v:ext="edit" aspectratio="f"/>
              <v:textbox inset="0mm,0mm,0mm,0mm" style="mso-fit-shape-to-text:t;">
                <w:txbxContent>
                  <w:sdt>
                    <w:sdtPr>
                      <w:rPr>
                        <w:rFonts w:asciiTheme="minorEastAsia" w:hAnsiTheme="minorEastAsia" w:eastAsiaTheme="minorEastAsia"/>
                        <w:sz w:val="18"/>
                        <w:szCs w:val="18"/>
                      </w:rPr>
                      <w:id w:val="147463004"/>
                    </w:sdtPr>
                    <w:sdtEndPr>
                      <w:rPr>
                        <w:rFonts w:asciiTheme="minorEastAsia" w:hAnsiTheme="minorEastAsia" w:eastAsiaTheme="minorEastAsia"/>
                        <w:sz w:val="18"/>
                        <w:szCs w:val="18"/>
                      </w:rPr>
                    </w:sdtEndPr>
                    <w:sdtContent>
                      <w:p w14:paraId="07DD7231">
                        <w:pPr>
                          <w:jc w:val="center"/>
                          <w:rPr>
                            <w:rFonts w:asciiTheme="minorEastAsia" w:hAnsiTheme="minorEastAsia" w:eastAsiaTheme="minorEastAsia"/>
                            <w:sz w:val="18"/>
                            <w:szCs w:val="18"/>
                          </w:rPr>
                        </w:pPr>
                        <w:r>
                          <w:rPr>
                            <w:rFonts w:asciiTheme="minorEastAsia" w:hAnsiTheme="minorEastAsia" w:eastAsiaTheme="minorEastAsia"/>
                            <w:sz w:val="18"/>
                            <w:szCs w:val="18"/>
                          </w:rPr>
                          <w:fldChar w:fldCharType="begin"/>
                        </w:r>
                        <w:r>
                          <w:rPr>
                            <w:rFonts w:asciiTheme="minorEastAsia" w:hAnsiTheme="minorEastAsia" w:eastAsiaTheme="minorEastAsia"/>
                            <w:sz w:val="18"/>
                            <w:szCs w:val="18"/>
                          </w:rPr>
                          <w:instrText xml:space="preserve">PAGE   \* MERGEFORMAT</w:instrText>
                        </w:r>
                        <w:r>
                          <w:rPr>
                            <w:rFonts w:asciiTheme="minorEastAsia" w:hAnsiTheme="minorEastAsia" w:eastAsiaTheme="minorEastAsia"/>
                            <w:sz w:val="18"/>
                            <w:szCs w:val="18"/>
                          </w:rPr>
                          <w:fldChar w:fldCharType="separate"/>
                        </w:r>
                        <w:r>
                          <w:rPr>
                            <w:rFonts w:asciiTheme="minorEastAsia" w:hAnsiTheme="minorEastAsia" w:eastAsiaTheme="minorEastAsia"/>
                            <w:sz w:val="18"/>
                            <w:szCs w:val="18"/>
                          </w:rPr>
                          <w:t>9</w:t>
                        </w:r>
                        <w:r>
                          <w:rPr>
                            <w:rFonts w:asciiTheme="minorEastAsia" w:hAnsiTheme="minorEastAsia" w:eastAsiaTheme="minorEastAsia"/>
                            <w:sz w:val="18"/>
                            <w:szCs w:val="18"/>
                          </w:rPr>
                          <w:fldChar w:fldCharType="end"/>
                        </w:r>
                      </w:p>
                    </w:sdtContent>
                  </w:sdt>
                  <w:p w14:paraId="55452781">
                    <w:pPr>
                      <w:rPr>
                        <w:rFonts w:asciiTheme="minorEastAsia" w:hAnsiTheme="minorEastAsia" w:eastAsiaTheme="minorEastAsia"/>
                        <w:sz w:val="18"/>
                        <w:szCs w:val="1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9269169"/>
    </w:sdtPr>
    <w:sdtContent>
      <w:p w14:paraId="1E7D437C">
        <w:pPr>
          <w:pStyle w:val="26"/>
          <w:jc w:val="center"/>
        </w:pPr>
        <w:r>
          <w:fldChar w:fldCharType="begin"/>
        </w:r>
        <w:r>
          <w:instrText xml:space="preserve">PAGE   \* MERGEFORMAT</w:instrText>
        </w:r>
        <w:r>
          <w:fldChar w:fldCharType="separate"/>
        </w:r>
        <w:r>
          <w:rPr>
            <w:lang w:val="zh-CN"/>
          </w:rPr>
          <w:t>2</w:t>
        </w:r>
        <w:r>
          <w:rPr>
            <w:lang w:val="zh-CN"/>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F4C40">
    <w:pPr>
      <w:widowControl w:val="0"/>
      <w:pBdr>
        <w:bottom w:val="single" w:color="auto" w:sz="6" w:space="1"/>
      </w:pBdr>
      <w:snapToGrid w:val="0"/>
      <w:jc w:val="righ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V1.</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（202</w:t>
    </w: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en-US" w:eastAsia="zh-CN" w:bidi="ar-SA"/>
      </w:rPr>
      <w:t>）</w:t>
    </w:r>
  </w:p>
  <w:p w14:paraId="269B5A8E">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0C92">
    <w:pPr>
      <w:rPr>
        <w:rFonts w:hint="eastAsia" w:ascii="宋体" w:hAnsi="宋体"/>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B9648"/>
    <w:multiLevelType w:val="singleLevel"/>
    <w:tmpl w:val="B6CB9648"/>
    <w:lvl w:ilvl="0" w:tentative="0">
      <w:start w:val="1"/>
      <w:numFmt w:val="decimal"/>
      <w:lvlText w:val="%1."/>
      <w:lvlJc w:val="left"/>
      <w:pPr>
        <w:tabs>
          <w:tab w:val="left" w:pos="312"/>
        </w:tabs>
      </w:pPr>
    </w:lvl>
  </w:abstractNum>
  <w:abstractNum w:abstractNumId="1">
    <w:nsid w:val="00000045"/>
    <w:multiLevelType w:val="multilevel"/>
    <w:tmpl w:val="00000045"/>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3151E9"/>
    <w:multiLevelType w:val="multilevel"/>
    <w:tmpl w:val="013151E9"/>
    <w:lvl w:ilvl="0" w:tentative="0">
      <w:start w:val="1"/>
      <w:numFmt w:val="decimal"/>
      <w:lvlText w:val="%1."/>
      <w:lvlJc w:val="left"/>
      <w:pPr>
        <w:ind w:left="425" w:hanging="425"/>
      </w:pPr>
      <w:rPr>
        <w:rFonts w:hint="default"/>
        <w:b w:val="0"/>
        <w:bCs/>
      </w:rPr>
    </w:lvl>
    <w:lvl w:ilvl="1" w:tentative="0">
      <w:start w:val="1"/>
      <w:numFmt w:val="decimal"/>
      <w:lvlText w:val="%1.%2"/>
      <w:lvlJc w:val="left"/>
      <w:pPr>
        <w:ind w:left="992" w:hanging="567"/>
      </w:pPr>
      <w:rPr>
        <w:rFonts w:hint="eastAsia"/>
      </w:rPr>
    </w:lvl>
    <w:lvl w:ilvl="2" w:tentative="0">
      <w:start w:val="1"/>
      <w:numFmt w:val="decimal"/>
      <w:lvlText w:val="%1.%2.%3"/>
      <w:lvlJc w:val="left"/>
      <w:pPr>
        <w:ind w:left="567"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C984D59"/>
    <w:multiLevelType w:val="multilevel"/>
    <w:tmpl w:val="0C984D59"/>
    <w:lvl w:ilvl="0" w:tentative="0">
      <w:start w:val="8"/>
      <w:numFmt w:val="decimal"/>
      <w:lvlText w:val="%1."/>
      <w:lvlJc w:val="left"/>
      <w:pPr>
        <w:ind w:left="425" w:hanging="425"/>
      </w:pPr>
      <w:rPr>
        <w:rFonts w:hint="eastAsia"/>
      </w:rPr>
    </w:lvl>
    <w:lvl w:ilvl="1" w:tentative="0">
      <w:start w:val="2"/>
      <w:numFmt w:val="decimal"/>
      <w:lvlText w:val="%1.%2"/>
      <w:lvlJc w:val="left"/>
      <w:pPr>
        <w:ind w:left="1135" w:hanging="567"/>
      </w:pPr>
      <w:rPr>
        <w:rFonts w:hint="eastAsia" w:eastAsia="宋体" w:asciiTheme="minorEastAsia" w:hAnsi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115B7682"/>
    <w:multiLevelType w:val="multilevel"/>
    <w:tmpl w:val="115B768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2155B8D"/>
    <w:multiLevelType w:val="multilevel"/>
    <w:tmpl w:val="12155B8D"/>
    <w:lvl w:ilvl="0" w:tentative="0">
      <w:start w:val="1"/>
      <w:numFmt w:val="lowerLetter"/>
      <w:pStyle w:val="94"/>
      <w:lvlText w:val="%1）"/>
      <w:lvlJc w:val="left"/>
      <w:pPr>
        <w:tabs>
          <w:tab w:val="left" w:pos="958"/>
        </w:tabs>
        <w:ind w:left="958" w:hanging="476"/>
      </w:pPr>
      <w:rPr>
        <w:rFonts w:hint="default" w:ascii="Arial" w:hAnsi="Arial" w:cs="Arial"/>
        <w:b w:val="0"/>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lvlText w:val="%2）"/>
      <w:lvlJc w:val="left"/>
      <w:pPr>
        <w:tabs>
          <w:tab w:val="left" w:pos="1440"/>
        </w:tabs>
        <w:ind w:left="1440" w:hanging="482"/>
      </w:pPr>
      <w:rPr>
        <w:rFonts w:hint="default" w:ascii="Arial" w:hAnsi="Arial"/>
      </w:rPr>
    </w:lvl>
    <w:lvl w:ilvl="2" w:tentative="0">
      <w:start w:val="1"/>
      <w:numFmt w:val="none"/>
      <w:lvlRestart w:val="0"/>
      <w:suff w:val="nothing"/>
      <w:lvlText w:val=""/>
      <w:lvlJc w:val="left"/>
      <w:pPr>
        <w:ind w:left="0" w:firstLine="0"/>
      </w:pPr>
      <w:rPr>
        <w:rFonts w:hint="eastAsia"/>
      </w:rPr>
    </w:lvl>
    <w:lvl w:ilvl="3" w:tentative="0">
      <w:start w:val="1"/>
      <w:numFmt w:val="none"/>
      <w:lvlRestart w:val="0"/>
      <w:suff w:val="nothing"/>
      <w:lvlText w:val=""/>
      <w:lvlJc w:val="left"/>
      <w:pPr>
        <w:ind w:left="0" w:firstLine="0"/>
      </w:pPr>
      <w:rPr>
        <w:rFonts w:hint="eastAsia"/>
      </w:rPr>
    </w:lvl>
    <w:lvl w:ilvl="4" w:tentative="0">
      <w:start w:val="1"/>
      <w:numFmt w:val="none"/>
      <w:lvlRestart w:val="0"/>
      <w:suff w:val="nothing"/>
      <w:lvlText w:val=""/>
      <w:lvlJc w:val="left"/>
      <w:pPr>
        <w:ind w:left="0" w:firstLine="0"/>
      </w:pPr>
      <w:rPr>
        <w:rFonts w:hint="eastAsia"/>
      </w:rPr>
    </w:lvl>
    <w:lvl w:ilvl="5" w:tentative="0">
      <w:start w:val="1"/>
      <w:numFmt w:val="none"/>
      <w:lvlRestart w:val="0"/>
      <w:suff w:val="nothing"/>
      <w:lvlText w:val=""/>
      <w:lvlJc w:val="left"/>
      <w:pPr>
        <w:ind w:left="0" w:firstLine="0"/>
      </w:pPr>
      <w:rPr>
        <w:rFonts w:hint="eastAsia"/>
      </w:rPr>
    </w:lvl>
    <w:lvl w:ilvl="6" w:tentative="0">
      <w:start w:val="1"/>
      <w:numFmt w:val="none"/>
      <w:lvlRestart w:val="0"/>
      <w:suff w:val="nothing"/>
      <w:lvlText w:val=""/>
      <w:lvlJc w:val="left"/>
      <w:pPr>
        <w:ind w:left="0" w:firstLine="0"/>
      </w:pPr>
      <w:rPr>
        <w:rFonts w:hint="eastAsia"/>
      </w:rPr>
    </w:lvl>
    <w:lvl w:ilvl="7" w:tentative="0">
      <w:start w:val="1"/>
      <w:numFmt w:val="none"/>
      <w:lvlRestart w:val="0"/>
      <w:suff w:val="nothing"/>
      <w:lvlText w:val=""/>
      <w:lvlJc w:val="left"/>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6">
    <w:nsid w:val="154A6C66"/>
    <w:multiLevelType w:val="multilevel"/>
    <w:tmpl w:val="154A6C6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9935E18"/>
    <w:multiLevelType w:val="multilevel"/>
    <w:tmpl w:val="19935E18"/>
    <w:lvl w:ilvl="0" w:tentative="0">
      <w:start w:val="1"/>
      <w:numFmt w:val="decimal"/>
      <w:pStyle w:val="92"/>
      <w:suff w:val="nothing"/>
      <w:lvlText w:val="%1  "/>
      <w:lvlJc w:val="left"/>
      <w:pPr>
        <w:ind w:left="0" w:firstLine="0"/>
      </w:pPr>
      <w:rPr>
        <w:rFonts w:hint="default" w:ascii="Arial" w:hAnsi="Arial"/>
      </w:rPr>
    </w:lvl>
    <w:lvl w:ilvl="1" w:tentative="0">
      <w:start w:val="1"/>
      <w:numFmt w:val="decimal"/>
      <w:pStyle w:val="93"/>
      <w:suff w:val="nothing"/>
      <w:lvlText w:val="%1.%2  "/>
      <w:lvlJc w:val="left"/>
      <w:pPr>
        <w:ind w:left="6804" w:firstLine="0"/>
      </w:pPr>
      <w:rPr>
        <w:rFonts w:hint="default" w:ascii="Arial" w:hAnsi="Arial"/>
      </w:rPr>
    </w:lvl>
    <w:lvl w:ilvl="2" w:tentative="0">
      <w:start w:val="1"/>
      <w:numFmt w:val="decimal"/>
      <w:suff w:val="nothing"/>
      <w:lvlText w:val="%1.%2.%3  "/>
      <w:lvlJc w:val="left"/>
      <w:pPr>
        <w:ind w:left="3969" w:firstLine="0"/>
      </w:pPr>
      <w:rPr>
        <w:rFonts w:hint="default" w:ascii="Arial" w:hAnsi="Arial"/>
      </w:rPr>
    </w:lvl>
    <w:lvl w:ilvl="3" w:tentative="0">
      <w:start w:val="1"/>
      <w:numFmt w:val="decimal"/>
      <w:suff w:val="nothing"/>
      <w:lvlText w:val="%1.%2.%3.%4  "/>
      <w:lvlJc w:val="left"/>
      <w:pPr>
        <w:ind w:left="3402" w:firstLine="0"/>
      </w:pPr>
      <w:rPr>
        <w:rFonts w:hint="default" w:ascii="Arial" w:hAnsi="Arial" w:cs="Arial"/>
        <w:b w:val="0"/>
        <w:bCs w:val="0"/>
        <w:i w:val="0"/>
        <w:iCs w:val="0"/>
        <w:caps w:val="0"/>
        <w:smallCaps w:val="0"/>
        <w:strike w:val="0"/>
        <w:dstrike w:val="0"/>
        <w:vanish w:val="0"/>
        <w:color w:val="000000"/>
        <w:spacing w:val="0"/>
        <w:position w:val="0"/>
        <w:sz w:val="24"/>
        <w:szCs w:val="24"/>
        <w:u w:val="none"/>
        <w:vertAlign w:val="baseline"/>
      </w:rPr>
    </w:lvl>
    <w:lvl w:ilvl="4" w:tentative="0">
      <w:start w:val="1"/>
      <w:numFmt w:val="decimal"/>
      <w:suff w:val="nothing"/>
      <w:lvlText w:val="%1.%2.%3.%4.%5  "/>
      <w:lvlJc w:val="left"/>
      <w:pPr>
        <w:ind w:left="0" w:firstLine="0"/>
      </w:pPr>
      <w:rPr>
        <w:rFonts w:hint="default" w:ascii="Arial" w:hAnsi="Arial"/>
      </w:rPr>
    </w:lvl>
    <w:lvl w:ilvl="5" w:tentative="0">
      <w:start w:val="1"/>
      <w:numFmt w:val="none"/>
      <w:lvlRestart w:val="0"/>
      <w:suff w:val="nothing"/>
      <w:lvlText w:val=""/>
      <w:lvlJc w:val="left"/>
      <w:pPr>
        <w:ind w:left="0" w:firstLine="0"/>
      </w:pPr>
      <w:rPr>
        <w:rFonts w:hint="eastAsia"/>
      </w:rPr>
    </w:lvl>
    <w:lvl w:ilvl="6" w:tentative="0">
      <w:start w:val="1"/>
      <w:numFmt w:val="none"/>
      <w:lvlRestart w:val="0"/>
      <w:suff w:val="nothing"/>
      <w:lvlText w:val=""/>
      <w:lvlJc w:val="left"/>
      <w:pPr>
        <w:ind w:left="0" w:firstLine="0"/>
      </w:pPr>
      <w:rPr>
        <w:rFonts w:hint="eastAsia"/>
      </w:rPr>
    </w:lvl>
    <w:lvl w:ilvl="7" w:tentative="0">
      <w:start w:val="1"/>
      <w:numFmt w:val="none"/>
      <w:lvlRestart w:val="0"/>
      <w:suff w:val="nothing"/>
      <w:lvlText w:val=""/>
      <w:lvlJc w:val="left"/>
      <w:pPr>
        <w:ind w:left="0" w:firstLine="0"/>
      </w:pPr>
      <w:rPr>
        <w:rFonts w:hint="eastAsia"/>
      </w:rPr>
    </w:lvl>
    <w:lvl w:ilvl="8" w:tentative="0">
      <w:start w:val="1"/>
      <w:numFmt w:val="none"/>
      <w:lvlRestart w:val="0"/>
      <w:suff w:val="nothing"/>
      <w:lvlText w:val=""/>
      <w:lvlJc w:val="left"/>
      <w:pPr>
        <w:ind w:left="0" w:firstLine="0"/>
      </w:pPr>
      <w:rPr>
        <w:rFonts w:hint="eastAsia"/>
      </w:rPr>
    </w:lvl>
  </w:abstractNum>
  <w:abstractNum w:abstractNumId="8">
    <w:nsid w:val="267D30CE"/>
    <w:multiLevelType w:val="multilevel"/>
    <w:tmpl w:val="267D30CE"/>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B63230B"/>
    <w:multiLevelType w:val="singleLevel"/>
    <w:tmpl w:val="2B63230B"/>
    <w:lvl w:ilvl="0" w:tentative="0">
      <w:start w:val="1"/>
      <w:numFmt w:val="decimal"/>
      <w:suff w:val="nothing"/>
      <w:lvlText w:val="（%1）"/>
      <w:lvlJc w:val="left"/>
    </w:lvl>
  </w:abstractNum>
  <w:abstractNum w:abstractNumId="10">
    <w:nsid w:val="2CB96BE2"/>
    <w:multiLevelType w:val="multilevel"/>
    <w:tmpl w:val="2CB96BE2"/>
    <w:lvl w:ilvl="0" w:tentative="0">
      <w:start w:val="1"/>
      <w:numFmt w:val="decimal"/>
      <w:lvlText w:val="%1."/>
      <w:lvlJc w:val="left"/>
      <w:pPr>
        <w:ind w:left="840" w:hanging="420"/>
      </w:pPr>
      <w:rPr>
        <w:rFonts w:hint="eastAsia"/>
        <w:b w:val="0"/>
        <w:i w:val="0"/>
        <w:sz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36C8617F"/>
    <w:multiLevelType w:val="multilevel"/>
    <w:tmpl w:val="36C8617F"/>
    <w:lvl w:ilvl="0" w:tentative="0">
      <w:start w:val="1"/>
      <w:numFmt w:val="decimal"/>
      <w:lvlText w:val="（%1）"/>
      <w:lvlJc w:val="left"/>
      <w:pPr>
        <w:ind w:left="421" w:hanging="425"/>
      </w:pPr>
      <w:rPr>
        <w:rFonts w:hint="eastAsia"/>
      </w:rPr>
    </w:lvl>
    <w:lvl w:ilvl="1" w:tentative="0">
      <w:start w:val="1"/>
      <w:numFmt w:val="decimal"/>
      <w:lvlText w:val="%1.%2"/>
      <w:lvlJc w:val="left"/>
      <w:pPr>
        <w:ind w:left="992" w:hanging="567"/>
      </w:pPr>
      <w:rPr>
        <w:rFonts w:hint="eastAsia" w:asciiTheme="minorEastAsia" w:hAnsiTheme="minorEastAsia" w:eastAsiaTheme="minor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2">
    <w:nsid w:val="396D3B13"/>
    <w:multiLevelType w:val="multilevel"/>
    <w:tmpl w:val="396D3B1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C1A7CF4"/>
    <w:multiLevelType w:val="multilevel"/>
    <w:tmpl w:val="3C1A7CF4"/>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4CE4B83"/>
    <w:multiLevelType w:val="multilevel"/>
    <w:tmpl w:val="44CE4B83"/>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AC775F4"/>
    <w:multiLevelType w:val="multilevel"/>
    <w:tmpl w:val="4AC775F4"/>
    <w:lvl w:ilvl="0" w:tentative="0">
      <w:start w:val="1"/>
      <w:numFmt w:val="decimal"/>
      <w:lvlText w:val="%1."/>
      <w:lvlJc w:val="left"/>
      <w:pPr>
        <w:ind w:left="425" w:hanging="425"/>
      </w:pPr>
      <w:rPr>
        <w:rFonts w:hint="eastAsia" w:ascii="宋体" w:hAnsi="宋体" w:eastAsia="宋体"/>
        <w:b/>
        <w:sz w:val="21"/>
        <w:szCs w:val="21"/>
      </w:rPr>
    </w:lvl>
    <w:lvl w:ilvl="1" w:tentative="0">
      <w:start w:val="1"/>
      <w:numFmt w:val="decimal"/>
      <w:lvlText w:val="%1.%2"/>
      <w:lvlJc w:val="left"/>
      <w:pPr>
        <w:ind w:left="850" w:hanging="425"/>
      </w:pPr>
      <w:rPr>
        <w:rFonts w:hint="eastAsia" w:eastAsia="宋体"/>
        <w:b/>
        <w:i w:val="0"/>
        <w:sz w:val="21"/>
        <w:szCs w:val="21"/>
      </w:rPr>
    </w:lvl>
    <w:lvl w:ilvl="2" w:tentative="0">
      <w:start w:val="1"/>
      <w:numFmt w:val="decimal"/>
      <w:lvlText w:val="%1.%2.%3"/>
      <w:lvlJc w:val="left"/>
      <w:pPr>
        <w:ind w:left="1275" w:hanging="425"/>
      </w:pPr>
      <w:rPr>
        <w:rFonts w:hint="eastAsia" w:eastAsia="宋体"/>
        <w:b w:val="0"/>
        <w:i w:val="0"/>
        <w:sz w:val="21"/>
      </w:rPr>
    </w:lvl>
    <w:lvl w:ilvl="3" w:tentative="0">
      <w:start w:val="1"/>
      <w:numFmt w:val="decimal"/>
      <w:lvlText w:val="%1.%2.%3.%4"/>
      <w:lvlJc w:val="left"/>
      <w:pPr>
        <w:ind w:left="1700" w:hanging="425"/>
      </w:pPr>
      <w:rPr>
        <w:rFonts w:hint="eastAsia"/>
      </w:rPr>
    </w:lvl>
    <w:lvl w:ilvl="4" w:tentative="0">
      <w:start w:val="1"/>
      <w:numFmt w:val="decimal"/>
      <w:lvlText w:val="%1.%2.%3.%4.%5"/>
      <w:lvlJc w:val="left"/>
      <w:pPr>
        <w:ind w:left="2125" w:hanging="425"/>
      </w:pPr>
      <w:rPr>
        <w:rFonts w:hint="eastAsia"/>
      </w:rPr>
    </w:lvl>
    <w:lvl w:ilvl="5" w:tentative="0">
      <w:start w:val="1"/>
      <w:numFmt w:val="decimal"/>
      <w:lvlText w:val="%1.%2.%3.%4.%5.%6"/>
      <w:lvlJc w:val="left"/>
      <w:pPr>
        <w:ind w:left="2550" w:hanging="425"/>
      </w:pPr>
      <w:rPr>
        <w:rFonts w:hint="eastAsia"/>
      </w:rPr>
    </w:lvl>
    <w:lvl w:ilvl="6" w:tentative="0">
      <w:start w:val="1"/>
      <w:numFmt w:val="decimal"/>
      <w:lvlText w:val="%1.%2.%3.%4.%5.%6.%7"/>
      <w:lvlJc w:val="left"/>
      <w:pPr>
        <w:ind w:left="2975" w:hanging="425"/>
      </w:pPr>
      <w:rPr>
        <w:rFonts w:hint="eastAsia"/>
      </w:rPr>
    </w:lvl>
    <w:lvl w:ilvl="7" w:tentative="0">
      <w:start w:val="1"/>
      <w:numFmt w:val="decimal"/>
      <w:lvlText w:val="%1.%2.%3.%4.%5.%6.%7.%8"/>
      <w:lvlJc w:val="left"/>
      <w:pPr>
        <w:ind w:left="3400" w:hanging="425"/>
      </w:pPr>
      <w:rPr>
        <w:rFonts w:hint="eastAsia"/>
      </w:rPr>
    </w:lvl>
    <w:lvl w:ilvl="8" w:tentative="0">
      <w:start w:val="1"/>
      <w:numFmt w:val="decimal"/>
      <w:lvlText w:val="%1.%2.%3.%4.%5.%6.%7.%8.%9"/>
      <w:lvlJc w:val="left"/>
      <w:pPr>
        <w:ind w:left="3825" w:hanging="425"/>
      </w:pPr>
      <w:rPr>
        <w:rFonts w:hint="eastAsia"/>
      </w:rPr>
    </w:lvl>
  </w:abstractNum>
  <w:abstractNum w:abstractNumId="16">
    <w:nsid w:val="4B6702B3"/>
    <w:multiLevelType w:val="multilevel"/>
    <w:tmpl w:val="4B6702B3"/>
    <w:lvl w:ilvl="0" w:tentative="0">
      <w:start w:val="1"/>
      <w:numFmt w:val="decimal"/>
      <w:lvlText w:val="%1."/>
      <w:lvlJc w:val="left"/>
      <w:pPr>
        <w:ind w:left="360" w:hanging="360"/>
      </w:pPr>
      <w:rPr>
        <w:rFonts w:hint="default" w:ascii="宋体" w:hAnsi="宋体" w:eastAsia="宋体"/>
        <w:b w:val="0"/>
        <w:i w:val="0"/>
        <w:sz w:val="21"/>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4DAC762D"/>
    <w:multiLevelType w:val="multilevel"/>
    <w:tmpl w:val="4DAC762D"/>
    <w:lvl w:ilvl="0" w:tentative="0">
      <w:start w:val="1"/>
      <w:numFmt w:val="decimal"/>
      <w:lvlText w:val="%1"/>
      <w:lvlJc w:val="left"/>
      <w:pPr>
        <w:tabs>
          <w:tab w:val="left" w:pos="432"/>
        </w:tabs>
        <w:ind w:left="432" w:hanging="432"/>
      </w:pPr>
      <w:rPr>
        <w:rFonts w:hint="eastAsia"/>
      </w:rPr>
    </w:lvl>
    <w:lvl w:ilvl="1" w:tentative="0">
      <w:start w:val="1"/>
      <w:numFmt w:val="decimal"/>
      <w:pStyle w:val="7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8">
    <w:nsid w:val="64FB4BFD"/>
    <w:multiLevelType w:val="multilevel"/>
    <w:tmpl w:val="64FB4BFD"/>
    <w:lvl w:ilvl="0" w:tentative="0">
      <w:start w:val="1"/>
      <w:numFmt w:val="decimal"/>
      <w:lvlText w:val="（%1）"/>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69D69EA"/>
    <w:multiLevelType w:val="multilevel"/>
    <w:tmpl w:val="669D69EA"/>
    <w:lvl w:ilvl="0" w:tentative="0">
      <w:start w:val="1"/>
      <w:numFmt w:val="decimal"/>
      <w:lvlText w:val="%1."/>
      <w:lvlJc w:val="left"/>
      <w:pPr>
        <w:ind w:left="840" w:hanging="420"/>
      </w:pPr>
      <w:rPr>
        <w:rFonts w:hint="eastAsia" w:eastAsia="仿宋_GB2312"/>
        <w:color w:val="auto"/>
        <w:sz w:val="28"/>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7"/>
  </w:num>
  <w:num w:numId="2">
    <w:abstractNumId w:val="7"/>
  </w:num>
  <w:num w:numId="3">
    <w:abstractNumId w:val="5"/>
  </w:num>
  <w:num w:numId="4">
    <w:abstractNumId w:val="8"/>
  </w:num>
  <w:num w:numId="5">
    <w:abstractNumId w:val="11"/>
  </w:num>
  <w:num w:numId="6">
    <w:abstractNumId w:val="3"/>
  </w:num>
  <w:num w:numId="7">
    <w:abstractNumId w:val="15"/>
  </w:num>
  <w:num w:numId="8">
    <w:abstractNumId w:val="6"/>
  </w:num>
  <w:num w:numId="9">
    <w:abstractNumId w:val="18"/>
  </w:num>
  <w:num w:numId="10">
    <w:abstractNumId w:val="9"/>
  </w:num>
  <w:num w:numId="11">
    <w:abstractNumId w:val="2"/>
  </w:num>
  <w:num w:numId="12">
    <w:abstractNumId w:val="19"/>
  </w:num>
  <w:num w:numId="13">
    <w:abstractNumId w:val="4"/>
  </w:num>
  <w:num w:numId="14">
    <w:abstractNumId w:val="10"/>
  </w:num>
  <w:num w:numId="15">
    <w:abstractNumId w:val="12"/>
  </w:num>
  <w:num w:numId="16">
    <w:abstractNumId w:val="14"/>
  </w:num>
  <w:num w:numId="17">
    <w:abstractNumId w:val="1"/>
  </w:num>
  <w:num w:numId="18">
    <w:abstractNumId w:val="16"/>
  </w:num>
  <w:num w:numId="19">
    <w:abstractNumId w:val="0"/>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movePersonalInformation/>
  <w:bordersDoNotSurroundHeader w:val="0"/>
  <w:bordersDoNotSurroundFooter w:val="0"/>
  <w:hideSpellingErrors/>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MjkyNGZiYzBlZTdmN2U4NTlmMzExZTYxOThiNDIifQ=="/>
  </w:docVars>
  <w:rsids>
    <w:rsidRoot w:val="006D1E24"/>
    <w:rsid w:val="00001D14"/>
    <w:rsid w:val="00004907"/>
    <w:rsid w:val="00005869"/>
    <w:rsid w:val="0000597B"/>
    <w:rsid w:val="0000738B"/>
    <w:rsid w:val="00010968"/>
    <w:rsid w:val="00010DFC"/>
    <w:rsid w:val="00014587"/>
    <w:rsid w:val="00016CB3"/>
    <w:rsid w:val="00020D9C"/>
    <w:rsid w:val="0002129D"/>
    <w:rsid w:val="0002141C"/>
    <w:rsid w:val="00021888"/>
    <w:rsid w:val="00021A11"/>
    <w:rsid w:val="0002398D"/>
    <w:rsid w:val="00027253"/>
    <w:rsid w:val="00027794"/>
    <w:rsid w:val="00033ED9"/>
    <w:rsid w:val="00034E09"/>
    <w:rsid w:val="0003775A"/>
    <w:rsid w:val="0004206C"/>
    <w:rsid w:val="0004255D"/>
    <w:rsid w:val="000445C6"/>
    <w:rsid w:val="0004718C"/>
    <w:rsid w:val="00047CB9"/>
    <w:rsid w:val="00047E9C"/>
    <w:rsid w:val="00051CBD"/>
    <w:rsid w:val="000560BC"/>
    <w:rsid w:val="00061656"/>
    <w:rsid w:val="00061B23"/>
    <w:rsid w:val="00062473"/>
    <w:rsid w:val="00062A74"/>
    <w:rsid w:val="00063079"/>
    <w:rsid w:val="00065450"/>
    <w:rsid w:val="00073E0B"/>
    <w:rsid w:val="00081C20"/>
    <w:rsid w:val="0008220C"/>
    <w:rsid w:val="00084ED1"/>
    <w:rsid w:val="000858C1"/>
    <w:rsid w:val="000901AA"/>
    <w:rsid w:val="00092670"/>
    <w:rsid w:val="000944A0"/>
    <w:rsid w:val="00094678"/>
    <w:rsid w:val="00096BF6"/>
    <w:rsid w:val="000975BF"/>
    <w:rsid w:val="000A0EF5"/>
    <w:rsid w:val="000A1448"/>
    <w:rsid w:val="000A1CA4"/>
    <w:rsid w:val="000A2258"/>
    <w:rsid w:val="000A250B"/>
    <w:rsid w:val="000A3C93"/>
    <w:rsid w:val="000A3E76"/>
    <w:rsid w:val="000A41E0"/>
    <w:rsid w:val="000A71E6"/>
    <w:rsid w:val="000B217D"/>
    <w:rsid w:val="000B256E"/>
    <w:rsid w:val="000B55EC"/>
    <w:rsid w:val="000B6EB8"/>
    <w:rsid w:val="000B6F74"/>
    <w:rsid w:val="000B731B"/>
    <w:rsid w:val="000C09BF"/>
    <w:rsid w:val="000C1E9B"/>
    <w:rsid w:val="000C37EF"/>
    <w:rsid w:val="000C62C7"/>
    <w:rsid w:val="000D090B"/>
    <w:rsid w:val="000D1A9E"/>
    <w:rsid w:val="000D202B"/>
    <w:rsid w:val="000D2B76"/>
    <w:rsid w:val="000D2C2A"/>
    <w:rsid w:val="000D68C5"/>
    <w:rsid w:val="000E045B"/>
    <w:rsid w:val="000E1C06"/>
    <w:rsid w:val="000E28EF"/>
    <w:rsid w:val="000E2DD2"/>
    <w:rsid w:val="000E362C"/>
    <w:rsid w:val="000E4B58"/>
    <w:rsid w:val="000E5F8C"/>
    <w:rsid w:val="000E65C0"/>
    <w:rsid w:val="000E68A1"/>
    <w:rsid w:val="000F175B"/>
    <w:rsid w:val="000F6AD7"/>
    <w:rsid w:val="000F6C5A"/>
    <w:rsid w:val="0010288B"/>
    <w:rsid w:val="00102BE9"/>
    <w:rsid w:val="00104246"/>
    <w:rsid w:val="001051DB"/>
    <w:rsid w:val="001058CA"/>
    <w:rsid w:val="00105F3E"/>
    <w:rsid w:val="00107748"/>
    <w:rsid w:val="00107807"/>
    <w:rsid w:val="00107E05"/>
    <w:rsid w:val="00110A63"/>
    <w:rsid w:val="00110B1E"/>
    <w:rsid w:val="001112C1"/>
    <w:rsid w:val="00116CBA"/>
    <w:rsid w:val="00120CA5"/>
    <w:rsid w:val="0012225B"/>
    <w:rsid w:val="00123F97"/>
    <w:rsid w:val="001306E5"/>
    <w:rsid w:val="0013296F"/>
    <w:rsid w:val="00134121"/>
    <w:rsid w:val="00134883"/>
    <w:rsid w:val="00135891"/>
    <w:rsid w:val="0013604E"/>
    <w:rsid w:val="00136F12"/>
    <w:rsid w:val="00137649"/>
    <w:rsid w:val="00141291"/>
    <w:rsid w:val="001413DE"/>
    <w:rsid w:val="001464EC"/>
    <w:rsid w:val="001476AF"/>
    <w:rsid w:val="001521DF"/>
    <w:rsid w:val="0015249A"/>
    <w:rsid w:val="00152FC0"/>
    <w:rsid w:val="001558E8"/>
    <w:rsid w:val="001559C5"/>
    <w:rsid w:val="00156AD9"/>
    <w:rsid w:val="00170461"/>
    <w:rsid w:val="00170A2B"/>
    <w:rsid w:val="001712B8"/>
    <w:rsid w:val="00173C41"/>
    <w:rsid w:val="00174F8F"/>
    <w:rsid w:val="00176386"/>
    <w:rsid w:val="00180FCE"/>
    <w:rsid w:val="00182766"/>
    <w:rsid w:val="001830EA"/>
    <w:rsid w:val="00183871"/>
    <w:rsid w:val="001844E0"/>
    <w:rsid w:val="001845D4"/>
    <w:rsid w:val="001848F1"/>
    <w:rsid w:val="00184F2C"/>
    <w:rsid w:val="001851E3"/>
    <w:rsid w:val="00186411"/>
    <w:rsid w:val="00186424"/>
    <w:rsid w:val="0018646D"/>
    <w:rsid w:val="001922AD"/>
    <w:rsid w:val="00193061"/>
    <w:rsid w:val="00193C2A"/>
    <w:rsid w:val="00195240"/>
    <w:rsid w:val="00196397"/>
    <w:rsid w:val="00197154"/>
    <w:rsid w:val="001A0163"/>
    <w:rsid w:val="001A13AA"/>
    <w:rsid w:val="001A7B9F"/>
    <w:rsid w:val="001A7C37"/>
    <w:rsid w:val="001B0221"/>
    <w:rsid w:val="001B03AE"/>
    <w:rsid w:val="001B0424"/>
    <w:rsid w:val="001B1E47"/>
    <w:rsid w:val="001B2099"/>
    <w:rsid w:val="001B2883"/>
    <w:rsid w:val="001B3F0F"/>
    <w:rsid w:val="001B79BF"/>
    <w:rsid w:val="001C162C"/>
    <w:rsid w:val="001C1E3D"/>
    <w:rsid w:val="001C2649"/>
    <w:rsid w:val="001C2B03"/>
    <w:rsid w:val="001C3F5C"/>
    <w:rsid w:val="001C5464"/>
    <w:rsid w:val="001C560E"/>
    <w:rsid w:val="001C59FC"/>
    <w:rsid w:val="001C5D49"/>
    <w:rsid w:val="001D0BA7"/>
    <w:rsid w:val="001D0DDC"/>
    <w:rsid w:val="001D1275"/>
    <w:rsid w:val="001D201F"/>
    <w:rsid w:val="001D433D"/>
    <w:rsid w:val="001D5E12"/>
    <w:rsid w:val="001D618A"/>
    <w:rsid w:val="001D6D30"/>
    <w:rsid w:val="001E0048"/>
    <w:rsid w:val="001E15DC"/>
    <w:rsid w:val="001E2A0A"/>
    <w:rsid w:val="001E3872"/>
    <w:rsid w:val="001E39E7"/>
    <w:rsid w:val="001E4A17"/>
    <w:rsid w:val="001E7788"/>
    <w:rsid w:val="001F2F59"/>
    <w:rsid w:val="001F4E16"/>
    <w:rsid w:val="001F5418"/>
    <w:rsid w:val="001F74E8"/>
    <w:rsid w:val="002001B4"/>
    <w:rsid w:val="002010F2"/>
    <w:rsid w:val="002017B3"/>
    <w:rsid w:val="0020216F"/>
    <w:rsid w:val="00205C2E"/>
    <w:rsid w:val="00210392"/>
    <w:rsid w:val="002109CC"/>
    <w:rsid w:val="00211BB3"/>
    <w:rsid w:val="00213454"/>
    <w:rsid w:val="00217911"/>
    <w:rsid w:val="00220ACE"/>
    <w:rsid w:val="00221349"/>
    <w:rsid w:val="0022246C"/>
    <w:rsid w:val="00222817"/>
    <w:rsid w:val="00222EC3"/>
    <w:rsid w:val="002255BE"/>
    <w:rsid w:val="00227929"/>
    <w:rsid w:val="002306A8"/>
    <w:rsid w:val="00232E61"/>
    <w:rsid w:val="00234EA4"/>
    <w:rsid w:val="0023604B"/>
    <w:rsid w:val="002434D9"/>
    <w:rsid w:val="00246597"/>
    <w:rsid w:val="00250163"/>
    <w:rsid w:val="00253000"/>
    <w:rsid w:val="00254C4F"/>
    <w:rsid w:val="00254DD5"/>
    <w:rsid w:val="00257772"/>
    <w:rsid w:val="00260CC4"/>
    <w:rsid w:val="00261D39"/>
    <w:rsid w:val="00263504"/>
    <w:rsid w:val="00263D8B"/>
    <w:rsid w:val="00264F8F"/>
    <w:rsid w:val="0026596A"/>
    <w:rsid w:val="00265D3C"/>
    <w:rsid w:val="00266376"/>
    <w:rsid w:val="0026656B"/>
    <w:rsid w:val="00266F33"/>
    <w:rsid w:val="0027044A"/>
    <w:rsid w:val="002721E5"/>
    <w:rsid w:val="00272C88"/>
    <w:rsid w:val="00276C1D"/>
    <w:rsid w:val="00277C54"/>
    <w:rsid w:val="00280A92"/>
    <w:rsid w:val="00280E8F"/>
    <w:rsid w:val="00281520"/>
    <w:rsid w:val="0028282F"/>
    <w:rsid w:val="00284F94"/>
    <w:rsid w:val="002858DA"/>
    <w:rsid w:val="002864CD"/>
    <w:rsid w:val="00287A8C"/>
    <w:rsid w:val="00291EFA"/>
    <w:rsid w:val="00294153"/>
    <w:rsid w:val="00295D81"/>
    <w:rsid w:val="00296112"/>
    <w:rsid w:val="002A345F"/>
    <w:rsid w:val="002A411E"/>
    <w:rsid w:val="002A5F03"/>
    <w:rsid w:val="002A6E2F"/>
    <w:rsid w:val="002B1672"/>
    <w:rsid w:val="002B3064"/>
    <w:rsid w:val="002B4238"/>
    <w:rsid w:val="002B7AFB"/>
    <w:rsid w:val="002C01C6"/>
    <w:rsid w:val="002C17E2"/>
    <w:rsid w:val="002C2734"/>
    <w:rsid w:val="002C2F0A"/>
    <w:rsid w:val="002C3215"/>
    <w:rsid w:val="002C364D"/>
    <w:rsid w:val="002C3771"/>
    <w:rsid w:val="002C6C4D"/>
    <w:rsid w:val="002C7EA3"/>
    <w:rsid w:val="002D557F"/>
    <w:rsid w:val="002D5862"/>
    <w:rsid w:val="002D74A6"/>
    <w:rsid w:val="002D7600"/>
    <w:rsid w:val="002D794D"/>
    <w:rsid w:val="002E2A86"/>
    <w:rsid w:val="002E31E7"/>
    <w:rsid w:val="002E32AA"/>
    <w:rsid w:val="002E6A25"/>
    <w:rsid w:val="002E6B3F"/>
    <w:rsid w:val="002E71A2"/>
    <w:rsid w:val="002F037F"/>
    <w:rsid w:val="002F2670"/>
    <w:rsid w:val="002F2A27"/>
    <w:rsid w:val="002F4305"/>
    <w:rsid w:val="002F67EF"/>
    <w:rsid w:val="00300CCB"/>
    <w:rsid w:val="00303FEC"/>
    <w:rsid w:val="00306EB1"/>
    <w:rsid w:val="00310C54"/>
    <w:rsid w:val="003116CF"/>
    <w:rsid w:val="00313C13"/>
    <w:rsid w:val="00314673"/>
    <w:rsid w:val="0031734A"/>
    <w:rsid w:val="00317B40"/>
    <w:rsid w:val="00320956"/>
    <w:rsid w:val="003217AB"/>
    <w:rsid w:val="00322D96"/>
    <w:rsid w:val="00323874"/>
    <w:rsid w:val="00324AB5"/>
    <w:rsid w:val="00325834"/>
    <w:rsid w:val="00325AE5"/>
    <w:rsid w:val="00331E14"/>
    <w:rsid w:val="00332978"/>
    <w:rsid w:val="003330C2"/>
    <w:rsid w:val="00336072"/>
    <w:rsid w:val="0033670D"/>
    <w:rsid w:val="00336A4B"/>
    <w:rsid w:val="00337135"/>
    <w:rsid w:val="00340B2E"/>
    <w:rsid w:val="00342C93"/>
    <w:rsid w:val="00347031"/>
    <w:rsid w:val="00350628"/>
    <w:rsid w:val="00355398"/>
    <w:rsid w:val="00356B01"/>
    <w:rsid w:val="003575FE"/>
    <w:rsid w:val="003620DF"/>
    <w:rsid w:val="003640C0"/>
    <w:rsid w:val="0036458A"/>
    <w:rsid w:val="003649EA"/>
    <w:rsid w:val="00367944"/>
    <w:rsid w:val="003701BE"/>
    <w:rsid w:val="00372139"/>
    <w:rsid w:val="00372D5B"/>
    <w:rsid w:val="00373F68"/>
    <w:rsid w:val="0037478D"/>
    <w:rsid w:val="00375A09"/>
    <w:rsid w:val="00377044"/>
    <w:rsid w:val="00381A65"/>
    <w:rsid w:val="00381BC0"/>
    <w:rsid w:val="00381F10"/>
    <w:rsid w:val="00385140"/>
    <w:rsid w:val="00386842"/>
    <w:rsid w:val="003869B6"/>
    <w:rsid w:val="00387343"/>
    <w:rsid w:val="0039040B"/>
    <w:rsid w:val="00391035"/>
    <w:rsid w:val="003928AD"/>
    <w:rsid w:val="00394C7A"/>
    <w:rsid w:val="00394DFC"/>
    <w:rsid w:val="00397BE2"/>
    <w:rsid w:val="003A12E8"/>
    <w:rsid w:val="003A2C0F"/>
    <w:rsid w:val="003A500C"/>
    <w:rsid w:val="003B1BFF"/>
    <w:rsid w:val="003B34FF"/>
    <w:rsid w:val="003B3CC3"/>
    <w:rsid w:val="003B6288"/>
    <w:rsid w:val="003B654E"/>
    <w:rsid w:val="003B7A35"/>
    <w:rsid w:val="003C0EF7"/>
    <w:rsid w:val="003C2639"/>
    <w:rsid w:val="003C3666"/>
    <w:rsid w:val="003C3983"/>
    <w:rsid w:val="003D2EE1"/>
    <w:rsid w:val="003E0AA8"/>
    <w:rsid w:val="003E5604"/>
    <w:rsid w:val="003E6406"/>
    <w:rsid w:val="003E717C"/>
    <w:rsid w:val="003E76B6"/>
    <w:rsid w:val="003F03C5"/>
    <w:rsid w:val="003F0C44"/>
    <w:rsid w:val="003F14BB"/>
    <w:rsid w:val="003F1512"/>
    <w:rsid w:val="003F2534"/>
    <w:rsid w:val="003F2A81"/>
    <w:rsid w:val="003F3580"/>
    <w:rsid w:val="003F360D"/>
    <w:rsid w:val="003F5459"/>
    <w:rsid w:val="003F6DE6"/>
    <w:rsid w:val="003F6F4B"/>
    <w:rsid w:val="003F7856"/>
    <w:rsid w:val="00400B3E"/>
    <w:rsid w:val="0040109A"/>
    <w:rsid w:val="00401A3C"/>
    <w:rsid w:val="00403219"/>
    <w:rsid w:val="004059BA"/>
    <w:rsid w:val="004062F8"/>
    <w:rsid w:val="00407F26"/>
    <w:rsid w:val="0041369F"/>
    <w:rsid w:val="004149D4"/>
    <w:rsid w:val="004159C7"/>
    <w:rsid w:val="00416AF9"/>
    <w:rsid w:val="0042393D"/>
    <w:rsid w:val="004246E2"/>
    <w:rsid w:val="00425096"/>
    <w:rsid w:val="00425128"/>
    <w:rsid w:val="004256F0"/>
    <w:rsid w:val="00426094"/>
    <w:rsid w:val="00426B48"/>
    <w:rsid w:val="00431B47"/>
    <w:rsid w:val="00431EED"/>
    <w:rsid w:val="00432010"/>
    <w:rsid w:val="00434201"/>
    <w:rsid w:val="00436072"/>
    <w:rsid w:val="004362FE"/>
    <w:rsid w:val="00441D34"/>
    <w:rsid w:val="0044330A"/>
    <w:rsid w:val="00454D2C"/>
    <w:rsid w:val="0045530D"/>
    <w:rsid w:val="0045648D"/>
    <w:rsid w:val="00456A57"/>
    <w:rsid w:val="00456C5A"/>
    <w:rsid w:val="00456CE8"/>
    <w:rsid w:val="0045728D"/>
    <w:rsid w:val="004613BF"/>
    <w:rsid w:val="0046380D"/>
    <w:rsid w:val="00463CF7"/>
    <w:rsid w:val="0046422B"/>
    <w:rsid w:val="0046568F"/>
    <w:rsid w:val="00466723"/>
    <w:rsid w:val="0046735C"/>
    <w:rsid w:val="004703C3"/>
    <w:rsid w:val="004706A5"/>
    <w:rsid w:val="00470BBF"/>
    <w:rsid w:val="00474A74"/>
    <w:rsid w:val="00476059"/>
    <w:rsid w:val="00476673"/>
    <w:rsid w:val="00483139"/>
    <w:rsid w:val="00484D35"/>
    <w:rsid w:val="00485FDC"/>
    <w:rsid w:val="00486C53"/>
    <w:rsid w:val="0048715D"/>
    <w:rsid w:val="004876D5"/>
    <w:rsid w:val="004908F9"/>
    <w:rsid w:val="00492A9C"/>
    <w:rsid w:val="00492F59"/>
    <w:rsid w:val="00493539"/>
    <w:rsid w:val="00494DEE"/>
    <w:rsid w:val="004951C8"/>
    <w:rsid w:val="00495BCC"/>
    <w:rsid w:val="00496137"/>
    <w:rsid w:val="004A09A6"/>
    <w:rsid w:val="004A194C"/>
    <w:rsid w:val="004A23A1"/>
    <w:rsid w:val="004A3B95"/>
    <w:rsid w:val="004A3E95"/>
    <w:rsid w:val="004A49D1"/>
    <w:rsid w:val="004A5604"/>
    <w:rsid w:val="004A596D"/>
    <w:rsid w:val="004A5E20"/>
    <w:rsid w:val="004A7D86"/>
    <w:rsid w:val="004B0624"/>
    <w:rsid w:val="004B0CAD"/>
    <w:rsid w:val="004B25B8"/>
    <w:rsid w:val="004B6287"/>
    <w:rsid w:val="004C0425"/>
    <w:rsid w:val="004C0733"/>
    <w:rsid w:val="004C131F"/>
    <w:rsid w:val="004C1CF8"/>
    <w:rsid w:val="004C3BF4"/>
    <w:rsid w:val="004D07CA"/>
    <w:rsid w:val="004D0D18"/>
    <w:rsid w:val="004D1731"/>
    <w:rsid w:val="004D22F4"/>
    <w:rsid w:val="004D257F"/>
    <w:rsid w:val="004D27D7"/>
    <w:rsid w:val="004D3245"/>
    <w:rsid w:val="004E0925"/>
    <w:rsid w:val="004E1970"/>
    <w:rsid w:val="004E24FF"/>
    <w:rsid w:val="004E3223"/>
    <w:rsid w:val="004E49BC"/>
    <w:rsid w:val="004E70C5"/>
    <w:rsid w:val="004E7D6B"/>
    <w:rsid w:val="00502106"/>
    <w:rsid w:val="005046A9"/>
    <w:rsid w:val="00507204"/>
    <w:rsid w:val="00507585"/>
    <w:rsid w:val="00512735"/>
    <w:rsid w:val="00514617"/>
    <w:rsid w:val="00515EB1"/>
    <w:rsid w:val="00516EDF"/>
    <w:rsid w:val="00520559"/>
    <w:rsid w:val="00520659"/>
    <w:rsid w:val="00521A17"/>
    <w:rsid w:val="005227F2"/>
    <w:rsid w:val="005242CA"/>
    <w:rsid w:val="00530B70"/>
    <w:rsid w:val="00530CB7"/>
    <w:rsid w:val="00531093"/>
    <w:rsid w:val="00534354"/>
    <w:rsid w:val="0053445B"/>
    <w:rsid w:val="005348FF"/>
    <w:rsid w:val="00535D16"/>
    <w:rsid w:val="00535D4C"/>
    <w:rsid w:val="00536303"/>
    <w:rsid w:val="005372B6"/>
    <w:rsid w:val="00537BE9"/>
    <w:rsid w:val="00542212"/>
    <w:rsid w:val="00542516"/>
    <w:rsid w:val="00543CA0"/>
    <w:rsid w:val="00543E79"/>
    <w:rsid w:val="005473AE"/>
    <w:rsid w:val="005514A7"/>
    <w:rsid w:val="00553505"/>
    <w:rsid w:val="005547C4"/>
    <w:rsid w:val="005605AE"/>
    <w:rsid w:val="00564D16"/>
    <w:rsid w:val="00565324"/>
    <w:rsid w:val="005670F5"/>
    <w:rsid w:val="0056789E"/>
    <w:rsid w:val="00573490"/>
    <w:rsid w:val="00575101"/>
    <w:rsid w:val="00577189"/>
    <w:rsid w:val="0057736F"/>
    <w:rsid w:val="005809A2"/>
    <w:rsid w:val="00580D19"/>
    <w:rsid w:val="0058173A"/>
    <w:rsid w:val="00581A41"/>
    <w:rsid w:val="00583ADB"/>
    <w:rsid w:val="00583FB6"/>
    <w:rsid w:val="0058499A"/>
    <w:rsid w:val="00586BA1"/>
    <w:rsid w:val="00590013"/>
    <w:rsid w:val="005971A7"/>
    <w:rsid w:val="005A0F69"/>
    <w:rsid w:val="005A1C47"/>
    <w:rsid w:val="005B13D1"/>
    <w:rsid w:val="005B157C"/>
    <w:rsid w:val="005B1F45"/>
    <w:rsid w:val="005B3568"/>
    <w:rsid w:val="005B45CF"/>
    <w:rsid w:val="005B51B6"/>
    <w:rsid w:val="005B6034"/>
    <w:rsid w:val="005B6BB6"/>
    <w:rsid w:val="005C0710"/>
    <w:rsid w:val="005C2906"/>
    <w:rsid w:val="005C57D5"/>
    <w:rsid w:val="005C5B43"/>
    <w:rsid w:val="005D26BE"/>
    <w:rsid w:val="005D3FD9"/>
    <w:rsid w:val="005D4557"/>
    <w:rsid w:val="005D4C85"/>
    <w:rsid w:val="005D6187"/>
    <w:rsid w:val="005D67BF"/>
    <w:rsid w:val="005D6BDC"/>
    <w:rsid w:val="005D6EE0"/>
    <w:rsid w:val="005D6FA4"/>
    <w:rsid w:val="005E14E9"/>
    <w:rsid w:val="005E2223"/>
    <w:rsid w:val="005E2F6E"/>
    <w:rsid w:val="005E2FF9"/>
    <w:rsid w:val="005E68C1"/>
    <w:rsid w:val="005E7C2F"/>
    <w:rsid w:val="005F10E1"/>
    <w:rsid w:val="005F1BA7"/>
    <w:rsid w:val="005F1E9A"/>
    <w:rsid w:val="005F216C"/>
    <w:rsid w:val="005F23ED"/>
    <w:rsid w:val="005F2E89"/>
    <w:rsid w:val="005F2F82"/>
    <w:rsid w:val="005F3889"/>
    <w:rsid w:val="005F4BAA"/>
    <w:rsid w:val="005F6314"/>
    <w:rsid w:val="0060299F"/>
    <w:rsid w:val="006041B3"/>
    <w:rsid w:val="0060594D"/>
    <w:rsid w:val="00606456"/>
    <w:rsid w:val="00606B8B"/>
    <w:rsid w:val="00610E5B"/>
    <w:rsid w:val="00611CC4"/>
    <w:rsid w:val="00612B87"/>
    <w:rsid w:val="0061347B"/>
    <w:rsid w:val="006146A5"/>
    <w:rsid w:val="00615E3B"/>
    <w:rsid w:val="00616E1D"/>
    <w:rsid w:val="00616F5E"/>
    <w:rsid w:val="0061719A"/>
    <w:rsid w:val="006174BE"/>
    <w:rsid w:val="00617D12"/>
    <w:rsid w:val="006252F6"/>
    <w:rsid w:val="006256CE"/>
    <w:rsid w:val="006300D3"/>
    <w:rsid w:val="00631CAC"/>
    <w:rsid w:val="006336B2"/>
    <w:rsid w:val="00633E3E"/>
    <w:rsid w:val="006346F6"/>
    <w:rsid w:val="00635155"/>
    <w:rsid w:val="00637451"/>
    <w:rsid w:val="00637FAB"/>
    <w:rsid w:val="006414E6"/>
    <w:rsid w:val="00643401"/>
    <w:rsid w:val="00645463"/>
    <w:rsid w:val="006479D9"/>
    <w:rsid w:val="00650F1B"/>
    <w:rsid w:val="00652510"/>
    <w:rsid w:val="00652D3C"/>
    <w:rsid w:val="006558F9"/>
    <w:rsid w:val="00656F1A"/>
    <w:rsid w:val="00662F8A"/>
    <w:rsid w:val="00667E25"/>
    <w:rsid w:val="00667FBF"/>
    <w:rsid w:val="00672899"/>
    <w:rsid w:val="0067638A"/>
    <w:rsid w:val="00677E41"/>
    <w:rsid w:val="00680D0B"/>
    <w:rsid w:val="00681F3C"/>
    <w:rsid w:val="0068278C"/>
    <w:rsid w:val="00683ED3"/>
    <w:rsid w:val="006868C0"/>
    <w:rsid w:val="006912DA"/>
    <w:rsid w:val="00692DA8"/>
    <w:rsid w:val="00693415"/>
    <w:rsid w:val="00693A59"/>
    <w:rsid w:val="00694AAE"/>
    <w:rsid w:val="00695BE5"/>
    <w:rsid w:val="0069643C"/>
    <w:rsid w:val="006979BF"/>
    <w:rsid w:val="00697E9A"/>
    <w:rsid w:val="006A1903"/>
    <w:rsid w:val="006A281F"/>
    <w:rsid w:val="006A61E8"/>
    <w:rsid w:val="006A7B40"/>
    <w:rsid w:val="006B0401"/>
    <w:rsid w:val="006B2E23"/>
    <w:rsid w:val="006B5212"/>
    <w:rsid w:val="006B7EE6"/>
    <w:rsid w:val="006B7F1D"/>
    <w:rsid w:val="006C327F"/>
    <w:rsid w:val="006C35DB"/>
    <w:rsid w:val="006C3739"/>
    <w:rsid w:val="006C3DAC"/>
    <w:rsid w:val="006C4901"/>
    <w:rsid w:val="006C57D3"/>
    <w:rsid w:val="006C6F1E"/>
    <w:rsid w:val="006C7204"/>
    <w:rsid w:val="006D168F"/>
    <w:rsid w:val="006D1E24"/>
    <w:rsid w:val="006D3574"/>
    <w:rsid w:val="006D3969"/>
    <w:rsid w:val="006D555D"/>
    <w:rsid w:val="006D73B0"/>
    <w:rsid w:val="006E4447"/>
    <w:rsid w:val="006E4787"/>
    <w:rsid w:val="006E4FF8"/>
    <w:rsid w:val="006F0D0C"/>
    <w:rsid w:val="006F1D20"/>
    <w:rsid w:val="006F2060"/>
    <w:rsid w:val="006F68B2"/>
    <w:rsid w:val="006F6CEF"/>
    <w:rsid w:val="006F702F"/>
    <w:rsid w:val="006F79E9"/>
    <w:rsid w:val="00700060"/>
    <w:rsid w:val="00701E8C"/>
    <w:rsid w:val="00704F0D"/>
    <w:rsid w:val="007076CD"/>
    <w:rsid w:val="007116E4"/>
    <w:rsid w:val="00711852"/>
    <w:rsid w:val="00714CAB"/>
    <w:rsid w:val="00714DD9"/>
    <w:rsid w:val="00714F6F"/>
    <w:rsid w:val="00716E23"/>
    <w:rsid w:val="00717D3C"/>
    <w:rsid w:val="007218C3"/>
    <w:rsid w:val="007243F8"/>
    <w:rsid w:val="007248BF"/>
    <w:rsid w:val="007260CE"/>
    <w:rsid w:val="00730AFC"/>
    <w:rsid w:val="00732D8D"/>
    <w:rsid w:val="007341CF"/>
    <w:rsid w:val="0073456F"/>
    <w:rsid w:val="00734699"/>
    <w:rsid w:val="007377C7"/>
    <w:rsid w:val="00743CFC"/>
    <w:rsid w:val="00746D6C"/>
    <w:rsid w:val="00746EE9"/>
    <w:rsid w:val="00747819"/>
    <w:rsid w:val="00751AE2"/>
    <w:rsid w:val="00752A74"/>
    <w:rsid w:val="00753151"/>
    <w:rsid w:val="00753505"/>
    <w:rsid w:val="0075594E"/>
    <w:rsid w:val="00757E81"/>
    <w:rsid w:val="0076103F"/>
    <w:rsid w:val="007619D1"/>
    <w:rsid w:val="0076273A"/>
    <w:rsid w:val="00763061"/>
    <w:rsid w:val="007632D5"/>
    <w:rsid w:val="00763C5A"/>
    <w:rsid w:val="00763D6F"/>
    <w:rsid w:val="00764152"/>
    <w:rsid w:val="00764396"/>
    <w:rsid w:val="007667D8"/>
    <w:rsid w:val="00766B60"/>
    <w:rsid w:val="007716B6"/>
    <w:rsid w:val="00771B0C"/>
    <w:rsid w:val="00771F86"/>
    <w:rsid w:val="007728A2"/>
    <w:rsid w:val="007744AD"/>
    <w:rsid w:val="00774C21"/>
    <w:rsid w:val="00775CC5"/>
    <w:rsid w:val="00777375"/>
    <w:rsid w:val="00777F69"/>
    <w:rsid w:val="0078188A"/>
    <w:rsid w:val="00782FEE"/>
    <w:rsid w:val="007877D5"/>
    <w:rsid w:val="00790DBD"/>
    <w:rsid w:val="00791CFD"/>
    <w:rsid w:val="007929B4"/>
    <w:rsid w:val="0079446E"/>
    <w:rsid w:val="00794B22"/>
    <w:rsid w:val="007A1A6B"/>
    <w:rsid w:val="007A1A9F"/>
    <w:rsid w:val="007A361F"/>
    <w:rsid w:val="007A4A9D"/>
    <w:rsid w:val="007A4AA7"/>
    <w:rsid w:val="007A5619"/>
    <w:rsid w:val="007A5F97"/>
    <w:rsid w:val="007A66C1"/>
    <w:rsid w:val="007A6AE8"/>
    <w:rsid w:val="007A75FE"/>
    <w:rsid w:val="007A78A8"/>
    <w:rsid w:val="007B0491"/>
    <w:rsid w:val="007B057B"/>
    <w:rsid w:val="007B0C92"/>
    <w:rsid w:val="007B3149"/>
    <w:rsid w:val="007B5036"/>
    <w:rsid w:val="007B5F37"/>
    <w:rsid w:val="007B6419"/>
    <w:rsid w:val="007B703A"/>
    <w:rsid w:val="007B7066"/>
    <w:rsid w:val="007B7131"/>
    <w:rsid w:val="007B7270"/>
    <w:rsid w:val="007C07A8"/>
    <w:rsid w:val="007C1952"/>
    <w:rsid w:val="007C3369"/>
    <w:rsid w:val="007C4C1C"/>
    <w:rsid w:val="007C7480"/>
    <w:rsid w:val="007D0A37"/>
    <w:rsid w:val="007D4699"/>
    <w:rsid w:val="007D6A14"/>
    <w:rsid w:val="007D76B7"/>
    <w:rsid w:val="007D772E"/>
    <w:rsid w:val="007E0769"/>
    <w:rsid w:val="007E0AF6"/>
    <w:rsid w:val="007E7E11"/>
    <w:rsid w:val="007F169F"/>
    <w:rsid w:val="007F306F"/>
    <w:rsid w:val="007F6996"/>
    <w:rsid w:val="0080007B"/>
    <w:rsid w:val="00800580"/>
    <w:rsid w:val="008009FF"/>
    <w:rsid w:val="00800E88"/>
    <w:rsid w:val="0080185D"/>
    <w:rsid w:val="0080277F"/>
    <w:rsid w:val="0080300C"/>
    <w:rsid w:val="0080646B"/>
    <w:rsid w:val="00810E84"/>
    <w:rsid w:val="008115E5"/>
    <w:rsid w:val="00815E67"/>
    <w:rsid w:val="008163A1"/>
    <w:rsid w:val="00816614"/>
    <w:rsid w:val="00816620"/>
    <w:rsid w:val="00822871"/>
    <w:rsid w:val="0082728A"/>
    <w:rsid w:val="00830214"/>
    <w:rsid w:val="00830AB0"/>
    <w:rsid w:val="00830B76"/>
    <w:rsid w:val="00832641"/>
    <w:rsid w:val="0083474E"/>
    <w:rsid w:val="00834F71"/>
    <w:rsid w:val="00837ECC"/>
    <w:rsid w:val="00841DAC"/>
    <w:rsid w:val="0084207A"/>
    <w:rsid w:val="00843D83"/>
    <w:rsid w:val="00846062"/>
    <w:rsid w:val="0084705D"/>
    <w:rsid w:val="00852484"/>
    <w:rsid w:val="00852D1A"/>
    <w:rsid w:val="008544C3"/>
    <w:rsid w:val="00855FA8"/>
    <w:rsid w:val="00857327"/>
    <w:rsid w:val="00860C7B"/>
    <w:rsid w:val="00863311"/>
    <w:rsid w:val="00863EF1"/>
    <w:rsid w:val="00866FEA"/>
    <w:rsid w:val="008702CD"/>
    <w:rsid w:val="008722E5"/>
    <w:rsid w:val="00874FF4"/>
    <w:rsid w:val="00875D54"/>
    <w:rsid w:val="008778A2"/>
    <w:rsid w:val="0088000D"/>
    <w:rsid w:val="00880BE2"/>
    <w:rsid w:val="00880DBE"/>
    <w:rsid w:val="00881A66"/>
    <w:rsid w:val="008837BA"/>
    <w:rsid w:val="0088428A"/>
    <w:rsid w:val="008849BF"/>
    <w:rsid w:val="00887F75"/>
    <w:rsid w:val="00890BCD"/>
    <w:rsid w:val="00893678"/>
    <w:rsid w:val="0089444D"/>
    <w:rsid w:val="0089678B"/>
    <w:rsid w:val="008A1733"/>
    <w:rsid w:val="008A7688"/>
    <w:rsid w:val="008B6145"/>
    <w:rsid w:val="008C1476"/>
    <w:rsid w:val="008C178B"/>
    <w:rsid w:val="008C1BC7"/>
    <w:rsid w:val="008C2A4D"/>
    <w:rsid w:val="008C3840"/>
    <w:rsid w:val="008D03E0"/>
    <w:rsid w:val="008D0E03"/>
    <w:rsid w:val="008D301E"/>
    <w:rsid w:val="008D43AE"/>
    <w:rsid w:val="008D6259"/>
    <w:rsid w:val="008E3BE6"/>
    <w:rsid w:val="008E5712"/>
    <w:rsid w:val="008F4E02"/>
    <w:rsid w:val="008F56EC"/>
    <w:rsid w:val="008F5B84"/>
    <w:rsid w:val="008F6434"/>
    <w:rsid w:val="00900307"/>
    <w:rsid w:val="0090060E"/>
    <w:rsid w:val="00902408"/>
    <w:rsid w:val="00905370"/>
    <w:rsid w:val="00905628"/>
    <w:rsid w:val="009077FF"/>
    <w:rsid w:val="00907CDE"/>
    <w:rsid w:val="00911BA0"/>
    <w:rsid w:val="0091302E"/>
    <w:rsid w:val="00916414"/>
    <w:rsid w:val="00916E62"/>
    <w:rsid w:val="0092084A"/>
    <w:rsid w:val="0092466D"/>
    <w:rsid w:val="009304CD"/>
    <w:rsid w:val="00930ED2"/>
    <w:rsid w:val="00932F94"/>
    <w:rsid w:val="00932FA6"/>
    <w:rsid w:val="00937277"/>
    <w:rsid w:val="00944E96"/>
    <w:rsid w:val="00945F08"/>
    <w:rsid w:val="0094774A"/>
    <w:rsid w:val="009503B8"/>
    <w:rsid w:val="00950F51"/>
    <w:rsid w:val="00952287"/>
    <w:rsid w:val="00957742"/>
    <w:rsid w:val="009600A6"/>
    <w:rsid w:val="009602A9"/>
    <w:rsid w:val="00963ED1"/>
    <w:rsid w:val="00965DEC"/>
    <w:rsid w:val="00966853"/>
    <w:rsid w:val="00966B34"/>
    <w:rsid w:val="00970012"/>
    <w:rsid w:val="009747A4"/>
    <w:rsid w:val="00974FE6"/>
    <w:rsid w:val="00976D44"/>
    <w:rsid w:val="00980F02"/>
    <w:rsid w:val="00982782"/>
    <w:rsid w:val="00983604"/>
    <w:rsid w:val="00984F6F"/>
    <w:rsid w:val="0098572E"/>
    <w:rsid w:val="0098690A"/>
    <w:rsid w:val="009876B2"/>
    <w:rsid w:val="00991447"/>
    <w:rsid w:val="00991E44"/>
    <w:rsid w:val="009932CF"/>
    <w:rsid w:val="009943B5"/>
    <w:rsid w:val="00994596"/>
    <w:rsid w:val="0099463C"/>
    <w:rsid w:val="00994D79"/>
    <w:rsid w:val="009951E5"/>
    <w:rsid w:val="009A0DAC"/>
    <w:rsid w:val="009A184D"/>
    <w:rsid w:val="009A1EDF"/>
    <w:rsid w:val="009A2F08"/>
    <w:rsid w:val="009A5DB0"/>
    <w:rsid w:val="009A7438"/>
    <w:rsid w:val="009B1E34"/>
    <w:rsid w:val="009B33ED"/>
    <w:rsid w:val="009B3539"/>
    <w:rsid w:val="009B46A4"/>
    <w:rsid w:val="009B501E"/>
    <w:rsid w:val="009B6748"/>
    <w:rsid w:val="009C0BC2"/>
    <w:rsid w:val="009C1319"/>
    <w:rsid w:val="009C37E7"/>
    <w:rsid w:val="009C436E"/>
    <w:rsid w:val="009D1CC4"/>
    <w:rsid w:val="009D289C"/>
    <w:rsid w:val="009D2B2D"/>
    <w:rsid w:val="009D3253"/>
    <w:rsid w:val="009D4A1E"/>
    <w:rsid w:val="009D4D93"/>
    <w:rsid w:val="009D5FDA"/>
    <w:rsid w:val="009D7270"/>
    <w:rsid w:val="009D7598"/>
    <w:rsid w:val="009E274F"/>
    <w:rsid w:val="009E5AD2"/>
    <w:rsid w:val="009E611B"/>
    <w:rsid w:val="009E6B4E"/>
    <w:rsid w:val="009E7330"/>
    <w:rsid w:val="009F0DDF"/>
    <w:rsid w:val="009F2931"/>
    <w:rsid w:val="009F2DF8"/>
    <w:rsid w:val="009F34D1"/>
    <w:rsid w:val="009F60E9"/>
    <w:rsid w:val="009F6275"/>
    <w:rsid w:val="009F7F8B"/>
    <w:rsid w:val="00A00023"/>
    <w:rsid w:val="00A03872"/>
    <w:rsid w:val="00A03EAC"/>
    <w:rsid w:val="00A05C83"/>
    <w:rsid w:val="00A06708"/>
    <w:rsid w:val="00A0760D"/>
    <w:rsid w:val="00A14013"/>
    <w:rsid w:val="00A146D0"/>
    <w:rsid w:val="00A15649"/>
    <w:rsid w:val="00A17508"/>
    <w:rsid w:val="00A21041"/>
    <w:rsid w:val="00A238D7"/>
    <w:rsid w:val="00A23BB6"/>
    <w:rsid w:val="00A240BB"/>
    <w:rsid w:val="00A24592"/>
    <w:rsid w:val="00A24819"/>
    <w:rsid w:val="00A24B66"/>
    <w:rsid w:val="00A2705E"/>
    <w:rsid w:val="00A30FAC"/>
    <w:rsid w:val="00A3195D"/>
    <w:rsid w:val="00A31A42"/>
    <w:rsid w:val="00A339BF"/>
    <w:rsid w:val="00A339C4"/>
    <w:rsid w:val="00A44BCB"/>
    <w:rsid w:val="00A45888"/>
    <w:rsid w:val="00A45B0A"/>
    <w:rsid w:val="00A45FA0"/>
    <w:rsid w:val="00A46BEA"/>
    <w:rsid w:val="00A50972"/>
    <w:rsid w:val="00A50EB0"/>
    <w:rsid w:val="00A526BC"/>
    <w:rsid w:val="00A5311F"/>
    <w:rsid w:val="00A56C76"/>
    <w:rsid w:val="00A613AC"/>
    <w:rsid w:val="00A6371D"/>
    <w:rsid w:val="00A65011"/>
    <w:rsid w:val="00A6565C"/>
    <w:rsid w:val="00A66FA9"/>
    <w:rsid w:val="00A70DC6"/>
    <w:rsid w:val="00A73B0D"/>
    <w:rsid w:val="00A73B72"/>
    <w:rsid w:val="00A748C4"/>
    <w:rsid w:val="00A74990"/>
    <w:rsid w:val="00A74ADB"/>
    <w:rsid w:val="00A74E8C"/>
    <w:rsid w:val="00A81304"/>
    <w:rsid w:val="00A84359"/>
    <w:rsid w:val="00A84B9D"/>
    <w:rsid w:val="00A8604B"/>
    <w:rsid w:val="00A86199"/>
    <w:rsid w:val="00A86B2C"/>
    <w:rsid w:val="00A925C1"/>
    <w:rsid w:val="00A931DC"/>
    <w:rsid w:val="00A960E3"/>
    <w:rsid w:val="00AA1554"/>
    <w:rsid w:val="00AA25C2"/>
    <w:rsid w:val="00AA40AD"/>
    <w:rsid w:val="00AA5754"/>
    <w:rsid w:val="00AA7105"/>
    <w:rsid w:val="00AA74A7"/>
    <w:rsid w:val="00AB38DA"/>
    <w:rsid w:val="00AB3BEF"/>
    <w:rsid w:val="00AB6453"/>
    <w:rsid w:val="00AB693A"/>
    <w:rsid w:val="00AB720C"/>
    <w:rsid w:val="00AB7B5E"/>
    <w:rsid w:val="00AC2066"/>
    <w:rsid w:val="00AC461E"/>
    <w:rsid w:val="00AC50FF"/>
    <w:rsid w:val="00AD1D93"/>
    <w:rsid w:val="00AD392E"/>
    <w:rsid w:val="00AD440F"/>
    <w:rsid w:val="00AD4488"/>
    <w:rsid w:val="00AD67FC"/>
    <w:rsid w:val="00AD7D70"/>
    <w:rsid w:val="00AE12E1"/>
    <w:rsid w:val="00AE3328"/>
    <w:rsid w:val="00AE3FFF"/>
    <w:rsid w:val="00AE5850"/>
    <w:rsid w:val="00AE6920"/>
    <w:rsid w:val="00AF0E98"/>
    <w:rsid w:val="00AF172F"/>
    <w:rsid w:val="00AF3F35"/>
    <w:rsid w:val="00AF78FE"/>
    <w:rsid w:val="00AF7911"/>
    <w:rsid w:val="00B00D84"/>
    <w:rsid w:val="00B032A1"/>
    <w:rsid w:val="00B037A9"/>
    <w:rsid w:val="00B06B80"/>
    <w:rsid w:val="00B10BD0"/>
    <w:rsid w:val="00B11587"/>
    <w:rsid w:val="00B1236D"/>
    <w:rsid w:val="00B13203"/>
    <w:rsid w:val="00B13CB7"/>
    <w:rsid w:val="00B14457"/>
    <w:rsid w:val="00B15ACE"/>
    <w:rsid w:val="00B20CC3"/>
    <w:rsid w:val="00B21C42"/>
    <w:rsid w:val="00B23364"/>
    <w:rsid w:val="00B2362D"/>
    <w:rsid w:val="00B23EA6"/>
    <w:rsid w:val="00B24183"/>
    <w:rsid w:val="00B249FB"/>
    <w:rsid w:val="00B25905"/>
    <w:rsid w:val="00B30359"/>
    <w:rsid w:val="00B33D0F"/>
    <w:rsid w:val="00B3411C"/>
    <w:rsid w:val="00B342EB"/>
    <w:rsid w:val="00B34406"/>
    <w:rsid w:val="00B35E4A"/>
    <w:rsid w:val="00B3659D"/>
    <w:rsid w:val="00B3775D"/>
    <w:rsid w:val="00B37948"/>
    <w:rsid w:val="00B405CE"/>
    <w:rsid w:val="00B45C3B"/>
    <w:rsid w:val="00B4723C"/>
    <w:rsid w:val="00B51361"/>
    <w:rsid w:val="00B53FB6"/>
    <w:rsid w:val="00B54BA5"/>
    <w:rsid w:val="00B57FC2"/>
    <w:rsid w:val="00B606C1"/>
    <w:rsid w:val="00B607F1"/>
    <w:rsid w:val="00B614B8"/>
    <w:rsid w:val="00B65A77"/>
    <w:rsid w:val="00B65D23"/>
    <w:rsid w:val="00B65FC1"/>
    <w:rsid w:val="00B66093"/>
    <w:rsid w:val="00B668A7"/>
    <w:rsid w:val="00B70F37"/>
    <w:rsid w:val="00B71D6D"/>
    <w:rsid w:val="00B736B4"/>
    <w:rsid w:val="00B74869"/>
    <w:rsid w:val="00B77F15"/>
    <w:rsid w:val="00B820F2"/>
    <w:rsid w:val="00B82BF5"/>
    <w:rsid w:val="00B83C6E"/>
    <w:rsid w:val="00B86232"/>
    <w:rsid w:val="00B87253"/>
    <w:rsid w:val="00B92BAF"/>
    <w:rsid w:val="00B93222"/>
    <w:rsid w:val="00B93BE5"/>
    <w:rsid w:val="00B93FC6"/>
    <w:rsid w:val="00B9448A"/>
    <w:rsid w:val="00B9457D"/>
    <w:rsid w:val="00B959E5"/>
    <w:rsid w:val="00BA0B0F"/>
    <w:rsid w:val="00BA2C08"/>
    <w:rsid w:val="00BA3544"/>
    <w:rsid w:val="00BA363C"/>
    <w:rsid w:val="00BA560E"/>
    <w:rsid w:val="00BA5662"/>
    <w:rsid w:val="00BA5874"/>
    <w:rsid w:val="00BA6128"/>
    <w:rsid w:val="00BB041A"/>
    <w:rsid w:val="00BB0DAD"/>
    <w:rsid w:val="00BB1691"/>
    <w:rsid w:val="00BB6429"/>
    <w:rsid w:val="00BB6528"/>
    <w:rsid w:val="00BB7CE5"/>
    <w:rsid w:val="00BC0741"/>
    <w:rsid w:val="00BC2519"/>
    <w:rsid w:val="00BC2876"/>
    <w:rsid w:val="00BD24B2"/>
    <w:rsid w:val="00BD3789"/>
    <w:rsid w:val="00BE2884"/>
    <w:rsid w:val="00BE3B07"/>
    <w:rsid w:val="00BE5625"/>
    <w:rsid w:val="00BE5740"/>
    <w:rsid w:val="00BE63E9"/>
    <w:rsid w:val="00BE6936"/>
    <w:rsid w:val="00BE6AB3"/>
    <w:rsid w:val="00BE75CE"/>
    <w:rsid w:val="00BE78B4"/>
    <w:rsid w:val="00BF00EC"/>
    <w:rsid w:val="00BF1281"/>
    <w:rsid w:val="00BF1B25"/>
    <w:rsid w:val="00BF2371"/>
    <w:rsid w:val="00BF3BA8"/>
    <w:rsid w:val="00BF542E"/>
    <w:rsid w:val="00BF6455"/>
    <w:rsid w:val="00BF6582"/>
    <w:rsid w:val="00BF6E5D"/>
    <w:rsid w:val="00BF7A38"/>
    <w:rsid w:val="00BF7CC4"/>
    <w:rsid w:val="00C005AE"/>
    <w:rsid w:val="00C00EB6"/>
    <w:rsid w:val="00C0187E"/>
    <w:rsid w:val="00C0372F"/>
    <w:rsid w:val="00C0570C"/>
    <w:rsid w:val="00C10007"/>
    <w:rsid w:val="00C10AEF"/>
    <w:rsid w:val="00C12D62"/>
    <w:rsid w:val="00C1455E"/>
    <w:rsid w:val="00C14A08"/>
    <w:rsid w:val="00C21D71"/>
    <w:rsid w:val="00C228D1"/>
    <w:rsid w:val="00C23B89"/>
    <w:rsid w:val="00C249E9"/>
    <w:rsid w:val="00C24E26"/>
    <w:rsid w:val="00C25075"/>
    <w:rsid w:val="00C26CB0"/>
    <w:rsid w:val="00C2738A"/>
    <w:rsid w:val="00C3283C"/>
    <w:rsid w:val="00C33703"/>
    <w:rsid w:val="00C350EB"/>
    <w:rsid w:val="00C40F7C"/>
    <w:rsid w:val="00C4547D"/>
    <w:rsid w:val="00C46E3F"/>
    <w:rsid w:val="00C47153"/>
    <w:rsid w:val="00C4789D"/>
    <w:rsid w:val="00C47A25"/>
    <w:rsid w:val="00C51A2A"/>
    <w:rsid w:val="00C53E65"/>
    <w:rsid w:val="00C60D67"/>
    <w:rsid w:val="00C61015"/>
    <w:rsid w:val="00C63955"/>
    <w:rsid w:val="00C63A64"/>
    <w:rsid w:val="00C6586D"/>
    <w:rsid w:val="00C67C70"/>
    <w:rsid w:val="00C67F82"/>
    <w:rsid w:val="00C7007A"/>
    <w:rsid w:val="00C70909"/>
    <w:rsid w:val="00C71A39"/>
    <w:rsid w:val="00C72E98"/>
    <w:rsid w:val="00C7519B"/>
    <w:rsid w:val="00C75669"/>
    <w:rsid w:val="00C76C9F"/>
    <w:rsid w:val="00C81948"/>
    <w:rsid w:val="00C823BB"/>
    <w:rsid w:val="00C8504B"/>
    <w:rsid w:val="00C855D9"/>
    <w:rsid w:val="00C87294"/>
    <w:rsid w:val="00C91390"/>
    <w:rsid w:val="00C92571"/>
    <w:rsid w:val="00C92FA0"/>
    <w:rsid w:val="00C94864"/>
    <w:rsid w:val="00C97575"/>
    <w:rsid w:val="00C97925"/>
    <w:rsid w:val="00CA2E53"/>
    <w:rsid w:val="00CA5C62"/>
    <w:rsid w:val="00CB109F"/>
    <w:rsid w:val="00CB5C83"/>
    <w:rsid w:val="00CB753B"/>
    <w:rsid w:val="00CC2798"/>
    <w:rsid w:val="00CC4313"/>
    <w:rsid w:val="00CC6075"/>
    <w:rsid w:val="00CC7467"/>
    <w:rsid w:val="00CD03C8"/>
    <w:rsid w:val="00CD0E17"/>
    <w:rsid w:val="00CD31BA"/>
    <w:rsid w:val="00CD3BC0"/>
    <w:rsid w:val="00CD5E69"/>
    <w:rsid w:val="00CE1529"/>
    <w:rsid w:val="00CE25F0"/>
    <w:rsid w:val="00CE3E81"/>
    <w:rsid w:val="00CE4D9B"/>
    <w:rsid w:val="00CE5A8C"/>
    <w:rsid w:val="00CE5ABD"/>
    <w:rsid w:val="00CE76E1"/>
    <w:rsid w:val="00CF2BD7"/>
    <w:rsid w:val="00CF36EF"/>
    <w:rsid w:val="00CF3761"/>
    <w:rsid w:val="00CF55A0"/>
    <w:rsid w:val="00CF676C"/>
    <w:rsid w:val="00CF72D8"/>
    <w:rsid w:val="00D01BC1"/>
    <w:rsid w:val="00D02A49"/>
    <w:rsid w:val="00D05260"/>
    <w:rsid w:val="00D06B19"/>
    <w:rsid w:val="00D12092"/>
    <w:rsid w:val="00D12C59"/>
    <w:rsid w:val="00D13E87"/>
    <w:rsid w:val="00D14875"/>
    <w:rsid w:val="00D16DFB"/>
    <w:rsid w:val="00D178E8"/>
    <w:rsid w:val="00D200E4"/>
    <w:rsid w:val="00D250AD"/>
    <w:rsid w:val="00D258BB"/>
    <w:rsid w:val="00D25F76"/>
    <w:rsid w:val="00D3075E"/>
    <w:rsid w:val="00D30A5B"/>
    <w:rsid w:val="00D31049"/>
    <w:rsid w:val="00D346D4"/>
    <w:rsid w:val="00D36FBF"/>
    <w:rsid w:val="00D421E2"/>
    <w:rsid w:val="00D425D7"/>
    <w:rsid w:val="00D43824"/>
    <w:rsid w:val="00D43AD9"/>
    <w:rsid w:val="00D43F83"/>
    <w:rsid w:val="00D45617"/>
    <w:rsid w:val="00D477BA"/>
    <w:rsid w:val="00D5014D"/>
    <w:rsid w:val="00D510DA"/>
    <w:rsid w:val="00D52AF0"/>
    <w:rsid w:val="00D52E3B"/>
    <w:rsid w:val="00D53511"/>
    <w:rsid w:val="00D54FFD"/>
    <w:rsid w:val="00D6111F"/>
    <w:rsid w:val="00D62B98"/>
    <w:rsid w:val="00D62CEE"/>
    <w:rsid w:val="00D65044"/>
    <w:rsid w:val="00D6546D"/>
    <w:rsid w:val="00D65D0D"/>
    <w:rsid w:val="00D727D8"/>
    <w:rsid w:val="00D7333B"/>
    <w:rsid w:val="00D73B08"/>
    <w:rsid w:val="00D74CBB"/>
    <w:rsid w:val="00D75E7A"/>
    <w:rsid w:val="00D77672"/>
    <w:rsid w:val="00D80DA5"/>
    <w:rsid w:val="00D8104F"/>
    <w:rsid w:val="00D81EEC"/>
    <w:rsid w:val="00D829CE"/>
    <w:rsid w:val="00D861D4"/>
    <w:rsid w:val="00D9288B"/>
    <w:rsid w:val="00D96A88"/>
    <w:rsid w:val="00D96C52"/>
    <w:rsid w:val="00D9750E"/>
    <w:rsid w:val="00DA0534"/>
    <w:rsid w:val="00DA45E9"/>
    <w:rsid w:val="00DA560D"/>
    <w:rsid w:val="00DA7F2D"/>
    <w:rsid w:val="00DB2869"/>
    <w:rsid w:val="00DB2BC7"/>
    <w:rsid w:val="00DB312B"/>
    <w:rsid w:val="00DB337C"/>
    <w:rsid w:val="00DB6102"/>
    <w:rsid w:val="00DB6D48"/>
    <w:rsid w:val="00DB7D9F"/>
    <w:rsid w:val="00DC12A4"/>
    <w:rsid w:val="00DC655F"/>
    <w:rsid w:val="00DC7815"/>
    <w:rsid w:val="00DD493C"/>
    <w:rsid w:val="00DD4B67"/>
    <w:rsid w:val="00DD61E7"/>
    <w:rsid w:val="00DD72E5"/>
    <w:rsid w:val="00DE0908"/>
    <w:rsid w:val="00DE18A6"/>
    <w:rsid w:val="00DE33B3"/>
    <w:rsid w:val="00DE3532"/>
    <w:rsid w:val="00DE6F13"/>
    <w:rsid w:val="00DE763A"/>
    <w:rsid w:val="00DE7B53"/>
    <w:rsid w:val="00DF2082"/>
    <w:rsid w:val="00DF2AE1"/>
    <w:rsid w:val="00DF2C5A"/>
    <w:rsid w:val="00DF5B6C"/>
    <w:rsid w:val="00DF5D70"/>
    <w:rsid w:val="00DF6A02"/>
    <w:rsid w:val="00E01EFE"/>
    <w:rsid w:val="00E05491"/>
    <w:rsid w:val="00E062F1"/>
    <w:rsid w:val="00E06598"/>
    <w:rsid w:val="00E067A6"/>
    <w:rsid w:val="00E1015E"/>
    <w:rsid w:val="00E11585"/>
    <w:rsid w:val="00E128C3"/>
    <w:rsid w:val="00E161D2"/>
    <w:rsid w:val="00E167A6"/>
    <w:rsid w:val="00E169F4"/>
    <w:rsid w:val="00E16C17"/>
    <w:rsid w:val="00E16F9E"/>
    <w:rsid w:val="00E175C8"/>
    <w:rsid w:val="00E2241B"/>
    <w:rsid w:val="00E228B8"/>
    <w:rsid w:val="00E26639"/>
    <w:rsid w:val="00E30389"/>
    <w:rsid w:val="00E32226"/>
    <w:rsid w:val="00E4319F"/>
    <w:rsid w:val="00E438B9"/>
    <w:rsid w:val="00E444A1"/>
    <w:rsid w:val="00E45C72"/>
    <w:rsid w:val="00E50C51"/>
    <w:rsid w:val="00E57496"/>
    <w:rsid w:val="00E60AA3"/>
    <w:rsid w:val="00E60E33"/>
    <w:rsid w:val="00E61D18"/>
    <w:rsid w:val="00E61EC7"/>
    <w:rsid w:val="00E63CF3"/>
    <w:rsid w:val="00E64541"/>
    <w:rsid w:val="00E64A75"/>
    <w:rsid w:val="00E6516A"/>
    <w:rsid w:val="00E66CB3"/>
    <w:rsid w:val="00E672C2"/>
    <w:rsid w:val="00E67E9F"/>
    <w:rsid w:val="00E70804"/>
    <w:rsid w:val="00E70EA2"/>
    <w:rsid w:val="00E715FF"/>
    <w:rsid w:val="00E72CEC"/>
    <w:rsid w:val="00E75B4F"/>
    <w:rsid w:val="00E76EC2"/>
    <w:rsid w:val="00E8015D"/>
    <w:rsid w:val="00E83653"/>
    <w:rsid w:val="00E83BB6"/>
    <w:rsid w:val="00E85BEA"/>
    <w:rsid w:val="00E8697F"/>
    <w:rsid w:val="00E90CDA"/>
    <w:rsid w:val="00E90D5D"/>
    <w:rsid w:val="00E91E2D"/>
    <w:rsid w:val="00E9407C"/>
    <w:rsid w:val="00EA1279"/>
    <w:rsid w:val="00EA1457"/>
    <w:rsid w:val="00EA30A6"/>
    <w:rsid w:val="00EA4E24"/>
    <w:rsid w:val="00EA6492"/>
    <w:rsid w:val="00EA69B6"/>
    <w:rsid w:val="00EB1C98"/>
    <w:rsid w:val="00EB48A8"/>
    <w:rsid w:val="00EB5E79"/>
    <w:rsid w:val="00EC30CC"/>
    <w:rsid w:val="00EC604A"/>
    <w:rsid w:val="00EC7E71"/>
    <w:rsid w:val="00ED077E"/>
    <w:rsid w:val="00ED21E7"/>
    <w:rsid w:val="00ED3022"/>
    <w:rsid w:val="00ED3481"/>
    <w:rsid w:val="00ED5148"/>
    <w:rsid w:val="00ED646E"/>
    <w:rsid w:val="00ED741E"/>
    <w:rsid w:val="00EE0157"/>
    <w:rsid w:val="00EE0AB3"/>
    <w:rsid w:val="00EE17EB"/>
    <w:rsid w:val="00EE2311"/>
    <w:rsid w:val="00EE27EF"/>
    <w:rsid w:val="00EE33D7"/>
    <w:rsid w:val="00EE775F"/>
    <w:rsid w:val="00EF422C"/>
    <w:rsid w:val="00EF6038"/>
    <w:rsid w:val="00F01C82"/>
    <w:rsid w:val="00F07504"/>
    <w:rsid w:val="00F07567"/>
    <w:rsid w:val="00F07F57"/>
    <w:rsid w:val="00F10354"/>
    <w:rsid w:val="00F10932"/>
    <w:rsid w:val="00F162D6"/>
    <w:rsid w:val="00F162F2"/>
    <w:rsid w:val="00F169BA"/>
    <w:rsid w:val="00F16D7B"/>
    <w:rsid w:val="00F1797C"/>
    <w:rsid w:val="00F215D2"/>
    <w:rsid w:val="00F2262D"/>
    <w:rsid w:val="00F2277E"/>
    <w:rsid w:val="00F27207"/>
    <w:rsid w:val="00F3188B"/>
    <w:rsid w:val="00F31E85"/>
    <w:rsid w:val="00F32638"/>
    <w:rsid w:val="00F346A3"/>
    <w:rsid w:val="00F34B4E"/>
    <w:rsid w:val="00F40B5B"/>
    <w:rsid w:val="00F417CB"/>
    <w:rsid w:val="00F418B2"/>
    <w:rsid w:val="00F41EAF"/>
    <w:rsid w:val="00F427FC"/>
    <w:rsid w:val="00F42B59"/>
    <w:rsid w:val="00F449FC"/>
    <w:rsid w:val="00F44D3B"/>
    <w:rsid w:val="00F4681F"/>
    <w:rsid w:val="00F511FC"/>
    <w:rsid w:val="00F513DD"/>
    <w:rsid w:val="00F533BF"/>
    <w:rsid w:val="00F53566"/>
    <w:rsid w:val="00F54532"/>
    <w:rsid w:val="00F5458A"/>
    <w:rsid w:val="00F54B0F"/>
    <w:rsid w:val="00F54CE3"/>
    <w:rsid w:val="00F60B11"/>
    <w:rsid w:val="00F6189B"/>
    <w:rsid w:val="00F63C70"/>
    <w:rsid w:val="00F64FD4"/>
    <w:rsid w:val="00F65C48"/>
    <w:rsid w:val="00F702DD"/>
    <w:rsid w:val="00F70E29"/>
    <w:rsid w:val="00F722BC"/>
    <w:rsid w:val="00F72E6C"/>
    <w:rsid w:val="00F74B0C"/>
    <w:rsid w:val="00F767DF"/>
    <w:rsid w:val="00F76C94"/>
    <w:rsid w:val="00F84219"/>
    <w:rsid w:val="00F8506F"/>
    <w:rsid w:val="00F866A8"/>
    <w:rsid w:val="00F87F41"/>
    <w:rsid w:val="00FA0183"/>
    <w:rsid w:val="00FA14C0"/>
    <w:rsid w:val="00FA5F16"/>
    <w:rsid w:val="00FB32C2"/>
    <w:rsid w:val="00FB5B3F"/>
    <w:rsid w:val="00FB7358"/>
    <w:rsid w:val="00FC0E5B"/>
    <w:rsid w:val="00FC22A6"/>
    <w:rsid w:val="00FC32AB"/>
    <w:rsid w:val="00FC3C97"/>
    <w:rsid w:val="00FC5CAD"/>
    <w:rsid w:val="00FC7955"/>
    <w:rsid w:val="00FD09CF"/>
    <w:rsid w:val="00FD196D"/>
    <w:rsid w:val="00FD1D94"/>
    <w:rsid w:val="00FD423A"/>
    <w:rsid w:val="00FD50CA"/>
    <w:rsid w:val="00FD572E"/>
    <w:rsid w:val="00FD6A18"/>
    <w:rsid w:val="00FE005E"/>
    <w:rsid w:val="00FE1755"/>
    <w:rsid w:val="00FE1B91"/>
    <w:rsid w:val="00FE6B12"/>
    <w:rsid w:val="00FE780D"/>
    <w:rsid w:val="00FE7D09"/>
    <w:rsid w:val="00FF424C"/>
    <w:rsid w:val="00FF4DE0"/>
    <w:rsid w:val="00FF6373"/>
    <w:rsid w:val="00FF64F2"/>
    <w:rsid w:val="00FF748B"/>
    <w:rsid w:val="02102EE2"/>
    <w:rsid w:val="02D149AD"/>
    <w:rsid w:val="03156361"/>
    <w:rsid w:val="03327FC8"/>
    <w:rsid w:val="03730DEF"/>
    <w:rsid w:val="048146F4"/>
    <w:rsid w:val="049A09ED"/>
    <w:rsid w:val="05C375FE"/>
    <w:rsid w:val="061E1110"/>
    <w:rsid w:val="074051F3"/>
    <w:rsid w:val="077433C6"/>
    <w:rsid w:val="07E45C7F"/>
    <w:rsid w:val="07E86DBF"/>
    <w:rsid w:val="080C13C2"/>
    <w:rsid w:val="084D7C2D"/>
    <w:rsid w:val="085E716A"/>
    <w:rsid w:val="098F153E"/>
    <w:rsid w:val="0AEC6CAF"/>
    <w:rsid w:val="0BBE2222"/>
    <w:rsid w:val="0C452A49"/>
    <w:rsid w:val="0C627450"/>
    <w:rsid w:val="0D444E52"/>
    <w:rsid w:val="0D486A4C"/>
    <w:rsid w:val="0D636733"/>
    <w:rsid w:val="0DC36A25"/>
    <w:rsid w:val="0DD16F1A"/>
    <w:rsid w:val="0E402FF4"/>
    <w:rsid w:val="0E496820"/>
    <w:rsid w:val="0F0659D8"/>
    <w:rsid w:val="0F9F12AB"/>
    <w:rsid w:val="10837797"/>
    <w:rsid w:val="112812B5"/>
    <w:rsid w:val="11604C92"/>
    <w:rsid w:val="118440E5"/>
    <w:rsid w:val="11DC2BFC"/>
    <w:rsid w:val="12411FD6"/>
    <w:rsid w:val="1299747B"/>
    <w:rsid w:val="13B751B3"/>
    <w:rsid w:val="147B0504"/>
    <w:rsid w:val="14AE5AE8"/>
    <w:rsid w:val="14AF1AFB"/>
    <w:rsid w:val="14F831F4"/>
    <w:rsid w:val="162561E4"/>
    <w:rsid w:val="166201A2"/>
    <w:rsid w:val="17281C4A"/>
    <w:rsid w:val="17F519DE"/>
    <w:rsid w:val="18245CDA"/>
    <w:rsid w:val="19501B94"/>
    <w:rsid w:val="196A3BC0"/>
    <w:rsid w:val="1A3D10B4"/>
    <w:rsid w:val="1A4768A9"/>
    <w:rsid w:val="1AD47792"/>
    <w:rsid w:val="1B5D0391"/>
    <w:rsid w:val="1B871B1E"/>
    <w:rsid w:val="1BC00E6C"/>
    <w:rsid w:val="1BD27A58"/>
    <w:rsid w:val="1DD77DB6"/>
    <w:rsid w:val="1DDB1C88"/>
    <w:rsid w:val="1E183D2D"/>
    <w:rsid w:val="1E671678"/>
    <w:rsid w:val="1E683707"/>
    <w:rsid w:val="1EBB683F"/>
    <w:rsid w:val="1F3B41CE"/>
    <w:rsid w:val="2000198D"/>
    <w:rsid w:val="21B34857"/>
    <w:rsid w:val="22226190"/>
    <w:rsid w:val="22D8243B"/>
    <w:rsid w:val="23442203"/>
    <w:rsid w:val="23524AF1"/>
    <w:rsid w:val="240750AB"/>
    <w:rsid w:val="24957684"/>
    <w:rsid w:val="25D47A75"/>
    <w:rsid w:val="25DE2164"/>
    <w:rsid w:val="27430A91"/>
    <w:rsid w:val="27710810"/>
    <w:rsid w:val="277F6530"/>
    <w:rsid w:val="27AE58C4"/>
    <w:rsid w:val="27B74537"/>
    <w:rsid w:val="28A808C1"/>
    <w:rsid w:val="28B43FBE"/>
    <w:rsid w:val="28BA6FC4"/>
    <w:rsid w:val="28FC5319"/>
    <w:rsid w:val="29171B75"/>
    <w:rsid w:val="292253C5"/>
    <w:rsid w:val="29463C57"/>
    <w:rsid w:val="2A2903FA"/>
    <w:rsid w:val="2A65091E"/>
    <w:rsid w:val="2ACF4D34"/>
    <w:rsid w:val="2AED0DE7"/>
    <w:rsid w:val="2BF93C40"/>
    <w:rsid w:val="2CC70108"/>
    <w:rsid w:val="2D415A4F"/>
    <w:rsid w:val="2D6C2E14"/>
    <w:rsid w:val="2D82165D"/>
    <w:rsid w:val="2D8439DD"/>
    <w:rsid w:val="2D9A265E"/>
    <w:rsid w:val="2DDC694B"/>
    <w:rsid w:val="2E4A73C6"/>
    <w:rsid w:val="2EC96AD7"/>
    <w:rsid w:val="2EDC64EE"/>
    <w:rsid w:val="2EEC4ABA"/>
    <w:rsid w:val="2F7A34D8"/>
    <w:rsid w:val="2F8C448E"/>
    <w:rsid w:val="300936DD"/>
    <w:rsid w:val="309B7B09"/>
    <w:rsid w:val="3219141D"/>
    <w:rsid w:val="32BD2BA4"/>
    <w:rsid w:val="332F60A6"/>
    <w:rsid w:val="335331C4"/>
    <w:rsid w:val="33AF250A"/>
    <w:rsid w:val="34552030"/>
    <w:rsid w:val="34712BE6"/>
    <w:rsid w:val="35472BB0"/>
    <w:rsid w:val="357A073E"/>
    <w:rsid w:val="357E3CD5"/>
    <w:rsid w:val="35C85031"/>
    <w:rsid w:val="35CE47D2"/>
    <w:rsid w:val="364F1E0A"/>
    <w:rsid w:val="36C52B6C"/>
    <w:rsid w:val="3740678A"/>
    <w:rsid w:val="37A75B88"/>
    <w:rsid w:val="38724FFD"/>
    <w:rsid w:val="38C37B3C"/>
    <w:rsid w:val="38E4259D"/>
    <w:rsid w:val="39343BEA"/>
    <w:rsid w:val="393A2270"/>
    <w:rsid w:val="39EB74C1"/>
    <w:rsid w:val="3BD43FD2"/>
    <w:rsid w:val="3C7826C2"/>
    <w:rsid w:val="3D4C5F1D"/>
    <w:rsid w:val="3DF06A2B"/>
    <w:rsid w:val="3E2B1CC9"/>
    <w:rsid w:val="3E3220A1"/>
    <w:rsid w:val="3EA96A1F"/>
    <w:rsid w:val="3F934A87"/>
    <w:rsid w:val="408753EB"/>
    <w:rsid w:val="40C325AE"/>
    <w:rsid w:val="411A4C6D"/>
    <w:rsid w:val="41611A9B"/>
    <w:rsid w:val="4175068C"/>
    <w:rsid w:val="422F6F89"/>
    <w:rsid w:val="42493C4E"/>
    <w:rsid w:val="42927595"/>
    <w:rsid w:val="445F383D"/>
    <w:rsid w:val="44CF3AF0"/>
    <w:rsid w:val="44D02C71"/>
    <w:rsid w:val="455E284B"/>
    <w:rsid w:val="45975D02"/>
    <w:rsid w:val="467532B0"/>
    <w:rsid w:val="47B16C82"/>
    <w:rsid w:val="47BB79BB"/>
    <w:rsid w:val="480A0DBF"/>
    <w:rsid w:val="48934C14"/>
    <w:rsid w:val="48AB3856"/>
    <w:rsid w:val="48DA6F6F"/>
    <w:rsid w:val="492553F9"/>
    <w:rsid w:val="49BE1740"/>
    <w:rsid w:val="4AEB0E78"/>
    <w:rsid w:val="4B0428AA"/>
    <w:rsid w:val="4BF058F8"/>
    <w:rsid w:val="4BFF0EDE"/>
    <w:rsid w:val="4CA42291"/>
    <w:rsid w:val="4CA97B54"/>
    <w:rsid w:val="4CEA63BF"/>
    <w:rsid w:val="4D6F6244"/>
    <w:rsid w:val="4D715573"/>
    <w:rsid w:val="4DBA7991"/>
    <w:rsid w:val="4DDA06F9"/>
    <w:rsid w:val="4E486680"/>
    <w:rsid w:val="4EEA2342"/>
    <w:rsid w:val="4F5D5E43"/>
    <w:rsid w:val="4F680840"/>
    <w:rsid w:val="502B7796"/>
    <w:rsid w:val="50AD4A4C"/>
    <w:rsid w:val="51280932"/>
    <w:rsid w:val="520F0C30"/>
    <w:rsid w:val="52224F53"/>
    <w:rsid w:val="52497B10"/>
    <w:rsid w:val="526B4E25"/>
    <w:rsid w:val="53570BC7"/>
    <w:rsid w:val="536C2A39"/>
    <w:rsid w:val="53867518"/>
    <w:rsid w:val="53A63AD7"/>
    <w:rsid w:val="54452097"/>
    <w:rsid w:val="54FC6198"/>
    <w:rsid w:val="558F2703"/>
    <w:rsid w:val="560D5C3D"/>
    <w:rsid w:val="57823B8F"/>
    <w:rsid w:val="57F220FF"/>
    <w:rsid w:val="58D141C7"/>
    <w:rsid w:val="592C57DA"/>
    <w:rsid w:val="5A27541F"/>
    <w:rsid w:val="5A874791"/>
    <w:rsid w:val="5BA7266B"/>
    <w:rsid w:val="5C397F0C"/>
    <w:rsid w:val="5C852D38"/>
    <w:rsid w:val="5CEA1084"/>
    <w:rsid w:val="5D57210D"/>
    <w:rsid w:val="5E105508"/>
    <w:rsid w:val="5E8A4B97"/>
    <w:rsid w:val="5E8E1E22"/>
    <w:rsid w:val="5EB26DED"/>
    <w:rsid w:val="5EB522EE"/>
    <w:rsid w:val="5ECA2293"/>
    <w:rsid w:val="5ED94AAC"/>
    <w:rsid w:val="5F4000F1"/>
    <w:rsid w:val="5FB92972"/>
    <w:rsid w:val="610A53CD"/>
    <w:rsid w:val="617D2B01"/>
    <w:rsid w:val="622930B7"/>
    <w:rsid w:val="62EB7C21"/>
    <w:rsid w:val="6340190D"/>
    <w:rsid w:val="63857EEF"/>
    <w:rsid w:val="63C713C1"/>
    <w:rsid w:val="63C86379"/>
    <w:rsid w:val="63DA2CBD"/>
    <w:rsid w:val="63EB261D"/>
    <w:rsid w:val="64A62FAD"/>
    <w:rsid w:val="64F17BAA"/>
    <w:rsid w:val="650E4F5B"/>
    <w:rsid w:val="65845331"/>
    <w:rsid w:val="66636F9A"/>
    <w:rsid w:val="678C0F1E"/>
    <w:rsid w:val="68AA23E3"/>
    <w:rsid w:val="69431305"/>
    <w:rsid w:val="697950A8"/>
    <w:rsid w:val="69AA3EB5"/>
    <w:rsid w:val="69AD626E"/>
    <w:rsid w:val="6A9C00F5"/>
    <w:rsid w:val="6AB524E2"/>
    <w:rsid w:val="6AB86DB5"/>
    <w:rsid w:val="6B896A79"/>
    <w:rsid w:val="6BD3451C"/>
    <w:rsid w:val="6C9761AC"/>
    <w:rsid w:val="6CB94BEC"/>
    <w:rsid w:val="6D351FB7"/>
    <w:rsid w:val="6DAC7479"/>
    <w:rsid w:val="6DEC11A3"/>
    <w:rsid w:val="6E6F3386"/>
    <w:rsid w:val="6FA92559"/>
    <w:rsid w:val="6FB07C08"/>
    <w:rsid w:val="703B5C7F"/>
    <w:rsid w:val="70C528EC"/>
    <w:rsid w:val="70F83CE8"/>
    <w:rsid w:val="715C2D07"/>
    <w:rsid w:val="71B22A11"/>
    <w:rsid w:val="72334BDF"/>
    <w:rsid w:val="72C652B2"/>
    <w:rsid w:val="72ED016C"/>
    <w:rsid w:val="73674BF4"/>
    <w:rsid w:val="7457518C"/>
    <w:rsid w:val="74903160"/>
    <w:rsid w:val="74C4399D"/>
    <w:rsid w:val="75232716"/>
    <w:rsid w:val="75AE4F26"/>
    <w:rsid w:val="75BD3B1B"/>
    <w:rsid w:val="762115A2"/>
    <w:rsid w:val="7646191B"/>
    <w:rsid w:val="777B0693"/>
    <w:rsid w:val="778D7C86"/>
    <w:rsid w:val="782D6077"/>
    <w:rsid w:val="797C4FAB"/>
    <w:rsid w:val="79A62764"/>
    <w:rsid w:val="79F53325"/>
    <w:rsid w:val="7A0635C0"/>
    <w:rsid w:val="7A4601A0"/>
    <w:rsid w:val="7A4E472A"/>
    <w:rsid w:val="7AEB5782"/>
    <w:rsid w:val="7B271119"/>
    <w:rsid w:val="7BE44BF2"/>
    <w:rsid w:val="7C970076"/>
    <w:rsid w:val="7CA64E0D"/>
    <w:rsid w:val="7D3A787F"/>
    <w:rsid w:val="7E3239CA"/>
    <w:rsid w:val="7E32670F"/>
    <w:rsid w:val="7ED97EFB"/>
    <w:rsid w:val="7F3C0F63"/>
    <w:rsid w:val="7F5B2C38"/>
    <w:rsid w:val="7F736225"/>
    <w:rsid w:val="7F930568"/>
    <w:rsid w:val="7FF66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0" w:semiHidden="0" w:name="Body Text First Indent"/>
    <w:lsdException w:uiPriority="99" w:name="Body Text First Indent 2"/>
    <w:lsdException w:uiPriority="99" w:name="Note Heading"/>
    <w:lsdException w:uiPriority="99" w:name="Body Text 2"/>
    <w:lsdException w:qFormat="1"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after="330" w:line="578" w:lineRule="auto"/>
      <w:outlineLvl w:val="0"/>
    </w:pPr>
    <w:rPr>
      <w:b/>
      <w:bCs/>
      <w:kern w:val="44"/>
      <w:sz w:val="44"/>
      <w:szCs w:val="44"/>
    </w:rPr>
  </w:style>
  <w:style w:type="paragraph" w:styleId="3">
    <w:name w:val="heading 2"/>
    <w:basedOn w:val="2"/>
    <w:next w:val="4"/>
    <w:link w:val="52"/>
    <w:qFormat/>
    <w:uiPriority w:val="9"/>
    <w:pPr>
      <w:keepNext/>
      <w:keepLines/>
      <w:spacing w:before="260" w:after="260" w:line="416" w:lineRule="auto"/>
      <w:outlineLvl w:val="1"/>
    </w:pPr>
    <w:rPr>
      <w:rFonts w:ascii="Arial" w:hAnsi="Arial" w:eastAsia="黑体"/>
      <w:sz w:val="32"/>
      <w:szCs w:val="32"/>
    </w:rPr>
  </w:style>
  <w:style w:type="paragraph" w:styleId="5">
    <w:name w:val="heading 3"/>
    <w:basedOn w:val="1"/>
    <w:next w:val="4"/>
    <w:link w:val="53"/>
    <w:qFormat/>
    <w:uiPriority w:val="0"/>
    <w:pPr>
      <w:keepNext/>
      <w:keepLines/>
      <w:autoSpaceDE w:val="0"/>
      <w:autoSpaceDN w:val="0"/>
      <w:adjustRightInd w:val="0"/>
      <w:spacing w:before="120" w:after="120" w:line="416" w:lineRule="atLeast"/>
      <w:outlineLvl w:val="2"/>
    </w:pPr>
    <w:rPr>
      <w:rFonts w:ascii="黑体" w:eastAsia="黑体"/>
      <w:kern w:val="0"/>
      <w:sz w:val="28"/>
      <w:szCs w:val="20"/>
    </w:rPr>
  </w:style>
  <w:style w:type="paragraph" w:styleId="6">
    <w:name w:val="heading 4"/>
    <w:basedOn w:val="1"/>
    <w:next w:val="1"/>
    <w:link w:val="54"/>
    <w:qFormat/>
    <w:uiPriority w:val="0"/>
    <w:pPr>
      <w:keepNext/>
      <w:outlineLvl w:val="3"/>
    </w:pPr>
    <w:rPr>
      <w:sz w:val="28"/>
      <w:szCs w:val="20"/>
    </w:rPr>
  </w:style>
  <w:style w:type="paragraph" w:styleId="7">
    <w:name w:val="heading 5"/>
    <w:basedOn w:val="1"/>
    <w:next w:val="1"/>
    <w:link w:val="55"/>
    <w:qFormat/>
    <w:uiPriority w:val="0"/>
    <w:pPr>
      <w:keepNext/>
      <w:keepLines/>
      <w:spacing w:before="280" w:after="290" w:line="376" w:lineRule="auto"/>
      <w:outlineLvl w:val="4"/>
    </w:pPr>
    <w:rPr>
      <w:b/>
      <w:bCs/>
      <w:sz w:val="28"/>
      <w:szCs w:val="28"/>
    </w:rPr>
  </w:style>
  <w:style w:type="paragraph" w:styleId="8">
    <w:name w:val="heading 6"/>
    <w:basedOn w:val="1"/>
    <w:next w:val="1"/>
    <w:link w:val="56"/>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link w:val="57"/>
    <w:qFormat/>
    <w:uiPriority w:val="0"/>
    <w:pPr>
      <w:keepNext/>
      <w:keepLines/>
      <w:spacing w:before="240" w:after="64" w:line="320" w:lineRule="auto"/>
      <w:outlineLvl w:val="6"/>
    </w:pPr>
    <w:rPr>
      <w:b/>
      <w:bCs/>
      <w:sz w:val="24"/>
    </w:rPr>
  </w:style>
  <w:style w:type="paragraph" w:styleId="10">
    <w:name w:val="heading 8"/>
    <w:basedOn w:val="1"/>
    <w:next w:val="1"/>
    <w:link w:val="58"/>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link w:val="59"/>
    <w:qFormat/>
    <w:uiPriority w:val="0"/>
    <w:pPr>
      <w:keepNext/>
      <w:keepLines/>
      <w:spacing w:before="240" w:after="64" w:line="320" w:lineRule="auto"/>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autoSpaceDE w:val="0"/>
      <w:autoSpaceDN w:val="0"/>
      <w:adjustRightInd w:val="0"/>
      <w:spacing w:line="315" w:lineRule="atLeast"/>
      <w:ind w:firstLine="420"/>
      <w:jc w:val="left"/>
    </w:pPr>
    <w:rPr>
      <w:rFonts w:ascii="楷体_GB2312" w:eastAsia="楷体_GB2312"/>
      <w:kern w:val="0"/>
      <w:sz w:val="28"/>
      <w:szCs w:val="20"/>
    </w:rPr>
  </w:style>
  <w:style w:type="paragraph" w:styleId="12">
    <w:name w:val="toc 7"/>
    <w:basedOn w:val="1"/>
    <w:next w:val="1"/>
    <w:unhideWhenUsed/>
    <w:qFormat/>
    <w:uiPriority w:val="39"/>
    <w:pPr>
      <w:ind w:left="2520" w:leftChars="1200"/>
    </w:pPr>
    <w:rPr>
      <w:rFonts w:ascii="Calibri" w:hAnsi="Calibri"/>
      <w:szCs w:val="22"/>
    </w:rPr>
  </w:style>
  <w:style w:type="paragraph" w:styleId="13">
    <w:name w:val="Document Map"/>
    <w:basedOn w:val="1"/>
    <w:link w:val="64"/>
    <w:qFormat/>
    <w:uiPriority w:val="0"/>
    <w:rPr>
      <w:rFonts w:ascii="宋体"/>
      <w:sz w:val="18"/>
      <w:szCs w:val="18"/>
    </w:rPr>
  </w:style>
  <w:style w:type="paragraph" w:styleId="14">
    <w:name w:val="annotation text"/>
    <w:basedOn w:val="1"/>
    <w:link w:val="62"/>
    <w:unhideWhenUsed/>
    <w:qFormat/>
    <w:uiPriority w:val="0"/>
    <w:pPr>
      <w:jc w:val="left"/>
    </w:pPr>
  </w:style>
  <w:style w:type="paragraph" w:styleId="15">
    <w:name w:val="Body Text 3"/>
    <w:basedOn w:val="1"/>
    <w:link w:val="87"/>
    <w:semiHidden/>
    <w:unhideWhenUsed/>
    <w:qFormat/>
    <w:uiPriority w:val="99"/>
    <w:pPr>
      <w:spacing w:after="120"/>
    </w:pPr>
    <w:rPr>
      <w:sz w:val="16"/>
      <w:szCs w:val="16"/>
    </w:rPr>
  </w:style>
  <w:style w:type="paragraph" w:styleId="16">
    <w:name w:val="Body Text"/>
    <w:basedOn w:val="1"/>
    <w:link w:val="65"/>
    <w:qFormat/>
    <w:uiPriority w:val="0"/>
    <w:rPr>
      <w:sz w:val="28"/>
      <w:szCs w:val="20"/>
    </w:rPr>
  </w:style>
  <w:style w:type="paragraph" w:styleId="17">
    <w:name w:val="Body Text Indent"/>
    <w:basedOn w:val="1"/>
    <w:link w:val="66"/>
    <w:qFormat/>
    <w:uiPriority w:val="0"/>
    <w:pPr>
      <w:autoSpaceDE w:val="0"/>
      <w:autoSpaceDN w:val="0"/>
      <w:adjustRightInd w:val="0"/>
      <w:spacing w:after="120" w:line="360" w:lineRule="atLeast"/>
      <w:ind w:left="900"/>
    </w:pPr>
    <w:rPr>
      <w:rFonts w:ascii="楷体_GB2312" w:eastAsia="楷体_GB2312"/>
      <w:kern w:val="0"/>
      <w:sz w:val="28"/>
      <w:szCs w:val="20"/>
    </w:rPr>
  </w:style>
  <w:style w:type="paragraph" w:styleId="18">
    <w:name w:val="List 2"/>
    <w:basedOn w:val="1"/>
    <w:qFormat/>
    <w:uiPriority w:val="0"/>
    <w:pPr>
      <w:ind w:left="100" w:leftChars="200" w:hanging="200" w:hangingChars="200"/>
    </w:pPr>
  </w:style>
  <w:style w:type="paragraph" w:styleId="19">
    <w:name w:val="toc 5"/>
    <w:basedOn w:val="1"/>
    <w:next w:val="1"/>
    <w:unhideWhenUsed/>
    <w:qFormat/>
    <w:uiPriority w:val="39"/>
    <w:pPr>
      <w:ind w:left="1680" w:leftChars="800"/>
    </w:pPr>
    <w:rPr>
      <w:rFonts w:ascii="Calibri" w:hAnsi="Calibri"/>
      <w:szCs w:val="22"/>
    </w:rPr>
  </w:style>
  <w:style w:type="paragraph" w:styleId="20">
    <w:name w:val="toc 3"/>
    <w:basedOn w:val="1"/>
    <w:next w:val="1"/>
    <w:unhideWhenUsed/>
    <w:qFormat/>
    <w:uiPriority w:val="39"/>
    <w:pPr>
      <w:widowControl/>
      <w:snapToGrid w:val="0"/>
      <w:spacing w:line="440" w:lineRule="exact"/>
      <w:ind w:left="442"/>
      <w:jc w:val="left"/>
    </w:pPr>
    <w:rPr>
      <w:rFonts w:asciiTheme="minorHAnsi" w:hAnsiTheme="minorHAnsi" w:cstheme="minorBidi"/>
      <w:kern w:val="0"/>
      <w:szCs w:val="22"/>
    </w:rPr>
  </w:style>
  <w:style w:type="paragraph" w:styleId="21">
    <w:name w:val="Plain Text"/>
    <w:basedOn w:val="1"/>
    <w:link w:val="67"/>
    <w:qFormat/>
    <w:uiPriority w:val="0"/>
    <w:rPr>
      <w:rFonts w:ascii="宋体" w:hAnsi="Courier New"/>
      <w:szCs w:val="20"/>
    </w:rPr>
  </w:style>
  <w:style w:type="paragraph" w:styleId="22">
    <w:name w:val="toc 8"/>
    <w:basedOn w:val="1"/>
    <w:next w:val="1"/>
    <w:unhideWhenUsed/>
    <w:qFormat/>
    <w:uiPriority w:val="39"/>
    <w:pPr>
      <w:ind w:left="2940" w:leftChars="1400"/>
    </w:pPr>
    <w:rPr>
      <w:rFonts w:ascii="Calibri" w:hAnsi="Calibri"/>
      <w:szCs w:val="22"/>
    </w:rPr>
  </w:style>
  <w:style w:type="paragraph" w:styleId="23">
    <w:name w:val="Date"/>
    <w:basedOn w:val="1"/>
    <w:next w:val="1"/>
    <w:link w:val="68"/>
    <w:qFormat/>
    <w:uiPriority w:val="0"/>
    <w:pPr>
      <w:ind w:left="100" w:leftChars="2500"/>
    </w:pPr>
    <w:rPr>
      <w:szCs w:val="20"/>
    </w:rPr>
  </w:style>
  <w:style w:type="paragraph" w:styleId="24">
    <w:name w:val="Body Text Indent 2"/>
    <w:basedOn w:val="1"/>
    <w:link w:val="69"/>
    <w:qFormat/>
    <w:uiPriority w:val="0"/>
    <w:pPr>
      <w:spacing w:line="480" w:lineRule="auto"/>
      <w:ind w:firstLine="480" w:firstLineChars="200"/>
    </w:pPr>
    <w:rPr>
      <w:rFonts w:ascii="仿宋_GB2312" w:hAnsi="宋体" w:eastAsia="仿宋_GB2312"/>
      <w:sz w:val="24"/>
    </w:rPr>
  </w:style>
  <w:style w:type="paragraph" w:styleId="25">
    <w:name w:val="Balloon Text"/>
    <w:basedOn w:val="1"/>
    <w:link w:val="50"/>
    <w:semiHidden/>
    <w:unhideWhenUsed/>
    <w:qFormat/>
    <w:uiPriority w:val="0"/>
    <w:rPr>
      <w:sz w:val="18"/>
      <w:szCs w:val="18"/>
    </w:rPr>
  </w:style>
  <w:style w:type="paragraph" w:styleId="26">
    <w:name w:val="footer"/>
    <w:basedOn w:val="1"/>
    <w:link w:val="61"/>
    <w:unhideWhenUsed/>
    <w:qFormat/>
    <w:uiPriority w:val="0"/>
    <w:pPr>
      <w:tabs>
        <w:tab w:val="center" w:pos="4153"/>
        <w:tab w:val="right" w:pos="8306"/>
      </w:tabs>
      <w:snapToGrid w:val="0"/>
      <w:jc w:val="left"/>
    </w:pPr>
    <w:rPr>
      <w:sz w:val="18"/>
      <w:szCs w:val="18"/>
    </w:rPr>
  </w:style>
  <w:style w:type="paragraph" w:styleId="27">
    <w:name w:val="header"/>
    <w:basedOn w:val="1"/>
    <w:link w:val="60"/>
    <w:unhideWhenUsed/>
    <w:qFormat/>
    <w:uiPriority w:val="99"/>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pPr>
      <w:tabs>
        <w:tab w:val="left" w:pos="426"/>
        <w:tab w:val="left" w:pos="709"/>
        <w:tab w:val="right" w:leader="dot" w:pos="8505"/>
      </w:tabs>
      <w:snapToGrid w:val="0"/>
      <w:spacing w:line="440" w:lineRule="exact"/>
      <w:jc w:val="left"/>
    </w:pPr>
    <w:rPr>
      <w:rFonts w:ascii="宋体" w:hAnsi="宋体"/>
    </w:rPr>
  </w:style>
  <w:style w:type="paragraph" w:styleId="29">
    <w:name w:val="toc 4"/>
    <w:basedOn w:val="1"/>
    <w:next w:val="1"/>
    <w:unhideWhenUsed/>
    <w:qFormat/>
    <w:uiPriority w:val="39"/>
    <w:pPr>
      <w:ind w:left="1260" w:leftChars="600"/>
    </w:pPr>
    <w:rPr>
      <w:rFonts w:ascii="Calibri" w:hAnsi="Calibri"/>
      <w:szCs w:val="22"/>
    </w:rPr>
  </w:style>
  <w:style w:type="paragraph" w:styleId="30">
    <w:name w:val="Subtitle"/>
    <w:basedOn w:val="1"/>
    <w:next w:val="1"/>
    <w:link w:val="70"/>
    <w:qFormat/>
    <w:uiPriority w:val="0"/>
    <w:pPr>
      <w:spacing w:before="240" w:after="60" w:line="312" w:lineRule="auto"/>
      <w:jc w:val="center"/>
      <w:outlineLvl w:val="1"/>
    </w:pPr>
    <w:rPr>
      <w:rFonts w:ascii="Cambria" w:hAnsi="Cambria" w:cs="黑体"/>
      <w:b/>
      <w:bCs/>
      <w:kern w:val="28"/>
      <w:sz w:val="32"/>
      <w:szCs w:val="32"/>
    </w:rPr>
  </w:style>
  <w:style w:type="paragraph" w:styleId="31">
    <w:name w:val="toc 6"/>
    <w:basedOn w:val="1"/>
    <w:next w:val="1"/>
    <w:unhideWhenUsed/>
    <w:qFormat/>
    <w:uiPriority w:val="39"/>
    <w:pPr>
      <w:ind w:left="2100" w:leftChars="1000"/>
    </w:pPr>
    <w:rPr>
      <w:rFonts w:ascii="Calibri" w:hAnsi="Calibri"/>
      <w:szCs w:val="22"/>
    </w:rPr>
  </w:style>
  <w:style w:type="paragraph" w:styleId="32">
    <w:name w:val="Body Text Indent 3"/>
    <w:basedOn w:val="1"/>
    <w:link w:val="71"/>
    <w:qFormat/>
    <w:uiPriority w:val="0"/>
    <w:pPr>
      <w:spacing w:after="120" w:line="360" w:lineRule="atLeast"/>
      <w:ind w:firstLine="720" w:firstLineChars="300"/>
    </w:pPr>
    <w:rPr>
      <w:sz w:val="24"/>
      <w:szCs w:val="20"/>
    </w:rPr>
  </w:style>
  <w:style w:type="paragraph" w:styleId="33">
    <w:name w:val="toc 2"/>
    <w:basedOn w:val="1"/>
    <w:next w:val="1"/>
    <w:qFormat/>
    <w:uiPriority w:val="39"/>
    <w:pPr>
      <w:tabs>
        <w:tab w:val="left" w:pos="567"/>
        <w:tab w:val="right" w:leader="dot" w:pos="8505"/>
        <w:tab w:val="right" w:leader="dot" w:pos="9628"/>
      </w:tabs>
      <w:spacing w:line="440" w:lineRule="exact"/>
    </w:pPr>
  </w:style>
  <w:style w:type="paragraph" w:styleId="34">
    <w:name w:val="toc 9"/>
    <w:basedOn w:val="1"/>
    <w:next w:val="1"/>
    <w:unhideWhenUsed/>
    <w:qFormat/>
    <w:uiPriority w:val="39"/>
    <w:pPr>
      <w:ind w:left="3360" w:leftChars="1600"/>
    </w:pPr>
    <w:rPr>
      <w:rFonts w:ascii="Calibri" w:hAnsi="Calibri"/>
      <w:szCs w:val="22"/>
    </w:rPr>
  </w:style>
  <w:style w:type="paragraph" w:styleId="35">
    <w:name w:val="Normal (Web)"/>
    <w:unhideWhenUsed/>
    <w:qFormat/>
    <w:uiPriority w:val="99"/>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36">
    <w:name w:val="Title"/>
    <w:basedOn w:val="1"/>
    <w:link w:val="72"/>
    <w:qFormat/>
    <w:uiPriority w:val="0"/>
    <w:pPr>
      <w:spacing w:before="240" w:after="60"/>
      <w:jc w:val="center"/>
      <w:outlineLvl w:val="0"/>
    </w:pPr>
    <w:rPr>
      <w:rFonts w:ascii="Cambria" w:hAnsi="Cambria"/>
      <w:b/>
      <w:bCs/>
      <w:sz w:val="32"/>
      <w:szCs w:val="32"/>
    </w:rPr>
  </w:style>
  <w:style w:type="paragraph" w:styleId="37">
    <w:name w:val="annotation subject"/>
    <w:basedOn w:val="14"/>
    <w:next w:val="14"/>
    <w:link w:val="63"/>
    <w:semiHidden/>
    <w:qFormat/>
    <w:uiPriority w:val="0"/>
    <w:rPr>
      <w:b/>
      <w:bCs/>
      <w:szCs w:val="20"/>
    </w:rPr>
  </w:style>
  <w:style w:type="paragraph" w:styleId="38">
    <w:name w:val="Body Text First Indent"/>
    <w:next w:val="1"/>
    <w:unhideWhenUsed/>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table" w:styleId="40">
    <w:name w:val="Table Grid"/>
    <w:basedOn w:val="39"/>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page number"/>
    <w:basedOn w:val="41"/>
    <w:qFormat/>
    <w:uiPriority w:val="0"/>
  </w:style>
  <w:style w:type="character" w:styleId="43">
    <w:name w:val="FollowedHyperlink"/>
    <w:qFormat/>
    <w:uiPriority w:val="0"/>
    <w:rPr>
      <w:color w:val="800080"/>
      <w:u w:val="single"/>
    </w:rPr>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paragraph" w:customStyle="1" w:styleId="4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bt1bt1"/>
    <w:basedOn w:val="2"/>
    <w:qFormat/>
    <w:uiPriority w:val="0"/>
    <w:pPr>
      <w:spacing w:line="240" w:lineRule="auto"/>
      <w:jc w:val="center"/>
    </w:pPr>
    <w:rPr>
      <w:rFonts w:ascii="黑体" w:eastAsia="黑体"/>
      <w:b w:val="0"/>
      <w:sz w:val="36"/>
      <w:szCs w:val="36"/>
    </w:rPr>
  </w:style>
  <w:style w:type="paragraph" w:styleId="48">
    <w:name w:val="List Paragraph"/>
    <w:basedOn w:val="1"/>
    <w:link w:val="90"/>
    <w:unhideWhenUsed/>
    <w:qFormat/>
    <w:uiPriority w:val="99"/>
    <w:pPr>
      <w:ind w:firstLine="420" w:firstLineChars="200"/>
    </w:pPr>
  </w:style>
  <w:style w:type="character" w:customStyle="1" w:styleId="49">
    <w:name w:val="标题 1 字符"/>
    <w:basedOn w:val="41"/>
    <w:link w:val="2"/>
    <w:qFormat/>
    <w:uiPriority w:val="0"/>
    <w:rPr>
      <w:rFonts w:ascii="Times New Roman" w:hAnsi="Times New Roman" w:eastAsia="宋体" w:cs="Times New Roman"/>
      <w:b/>
      <w:bCs/>
      <w:kern w:val="44"/>
      <w:sz w:val="44"/>
      <w:szCs w:val="44"/>
    </w:rPr>
  </w:style>
  <w:style w:type="character" w:customStyle="1" w:styleId="50">
    <w:name w:val="批注框文本 字符"/>
    <w:basedOn w:val="41"/>
    <w:link w:val="25"/>
    <w:semiHidden/>
    <w:qFormat/>
    <w:uiPriority w:val="0"/>
    <w:rPr>
      <w:rFonts w:ascii="Times New Roman" w:hAnsi="Times New Roman" w:eastAsia="宋体" w:cs="Times New Roman"/>
      <w:sz w:val="18"/>
      <w:szCs w:val="18"/>
    </w:rPr>
  </w:style>
  <w:style w:type="paragraph" w:customStyle="1" w:styleId="51">
    <w:name w:val="TOC 标题1"/>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2 字符"/>
    <w:basedOn w:val="41"/>
    <w:link w:val="3"/>
    <w:qFormat/>
    <w:uiPriority w:val="9"/>
    <w:rPr>
      <w:rFonts w:ascii="Arial" w:hAnsi="Arial" w:eastAsia="黑体" w:cs="Times New Roman"/>
      <w:b/>
      <w:bCs/>
      <w:sz w:val="32"/>
      <w:szCs w:val="32"/>
    </w:rPr>
  </w:style>
  <w:style w:type="character" w:customStyle="1" w:styleId="53">
    <w:name w:val="标题 3 字符"/>
    <w:basedOn w:val="41"/>
    <w:link w:val="5"/>
    <w:qFormat/>
    <w:uiPriority w:val="0"/>
    <w:rPr>
      <w:rFonts w:ascii="黑体" w:hAnsi="Times New Roman" w:eastAsia="黑体" w:cs="Times New Roman"/>
      <w:kern w:val="0"/>
      <w:sz w:val="28"/>
      <w:szCs w:val="20"/>
    </w:rPr>
  </w:style>
  <w:style w:type="character" w:customStyle="1" w:styleId="54">
    <w:name w:val="标题 4 字符"/>
    <w:basedOn w:val="41"/>
    <w:link w:val="6"/>
    <w:qFormat/>
    <w:uiPriority w:val="0"/>
    <w:rPr>
      <w:rFonts w:ascii="Times New Roman" w:hAnsi="Times New Roman" w:eastAsia="宋体" w:cs="Times New Roman"/>
      <w:sz w:val="28"/>
      <w:szCs w:val="20"/>
    </w:rPr>
  </w:style>
  <w:style w:type="character" w:customStyle="1" w:styleId="55">
    <w:name w:val="标题 5 字符"/>
    <w:basedOn w:val="41"/>
    <w:link w:val="7"/>
    <w:qFormat/>
    <w:uiPriority w:val="0"/>
    <w:rPr>
      <w:rFonts w:ascii="Times New Roman" w:hAnsi="Times New Roman" w:eastAsia="宋体" w:cs="Times New Roman"/>
      <w:b/>
      <w:bCs/>
      <w:sz w:val="28"/>
      <w:szCs w:val="28"/>
    </w:rPr>
  </w:style>
  <w:style w:type="character" w:customStyle="1" w:styleId="56">
    <w:name w:val="标题 6 字符"/>
    <w:basedOn w:val="41"/>
    <w:link w:val="8"/>
    <w:qFormat/>
    <w:uiPriority w:val="0"/>
    <w:rPr>
      <w:rFonts w:ascii="Arial" w:hAnsi="Arial" w:eastAsia="黑体" w:cs="Times New Roman"/>
      <w:b/>
      <w:bCs/>
      <w:sz w:val="24"/>
      <w:szCs w:val="24"/>
    </w:rPr>
  </w:style>
  <w:style w:type="character" w:customStyle="1" w:styleId="57">
    <w:name w:val="标题 7 字符"/>
    <w:basedOn w:val="41"/>
    <w:link w:val="9"/>
    <w:qFormat/>
    <w:uiPriority w:val="0"/>
    <w:rPr>
      <w:rFonts w:ascii="Times New Roman" w:hAnsi="Times New Roman" w:eastAsia="宋体" w:cs="Times New Roman"/>
      <w:b/>
      <w:bCs/>
      <w:sz w:val="24"/>
      <w:szCs w:val="24"/>
    </w:rPr>
  </w:style>
  <w:style w:type="character" w:customStyle="1" w:styleId="58">
    <w:name w:val="标题 8 字符"/>
    <w:basedOn w:val="41"/>
    <w:link w:val="10"/>
    <w:qFormat/>
    <w:uiPriority w:val="0"/>
    <w:rPr>
      <w:rFonts w:ascii="Arial" w:hAnsi="Arial" w:eastAsia="黑体" w:cs="Times New Roman"/>
      <w:sz w:val="24"/>
      <w:szCs w:val="24"/>
    </w:rPr>
  </w:style>
  <w:style w:type="character" w:customStyle="1" w:styleId="59">
    <w:name w:val="标题 9 字符"/>
    <w:basedOn w:val="41"/>
    <w:link w:val="11"/>
    <w:qFormat/>
    <w:uiPriority w:val="0"/>
    <w:rPr>
      <w:rFonts w:ascii="Arial" w:hAnsi="Arial" w:eastAsia="黑体" w:cs="Times New Roman"/>
      <w:szCs w:val="21"/>
    </w:rPr>
  </w:style>
  <w:style w:type="character" w:customStyle="1" w:styleId="60">
    <w:name w:val="页眉 字符"/>
    <w:basedOn w:val="41"/>
    <w:link w:val="27"/>
    <w:qFormat/>
    <w:uiPriority w:val="99"/>
    <w:rPr>
      <w:rFonts w:ascii="Times New Roman" w:hAnsi="Times New Roman" w:eastAsia="宋体" w:cs="Times New Roman"/>
      <w:sz w:val="18"/>
      <w:szCs w:val="18"/>
    </w:rPr>
  </w:style>
  <w:style w:type="character" w:customStyle="1" w:styleId="61">
    <w:name w:val="页脚 字符"/>
    <w:basedOn w:val="41"/>
    <w:link w:val="26"/>
    <w:qFormat/>
    <w:uiPriority w:val="0"/>
    <w:rPr>
      <w:rFonts w:ascii="Times New Roman" w:hAnsi="Times New Roman" w:eastAsia="宋体" w:cs="Times New Roman"/>
      <w:sz w:val="18"/>
      <w:szCs w:val="18"/>
    </w:rPr>
  </w:style>
  <w:style w:type="character" w:customStyle="1" w:styleId="62">
    <w:name w:val="批注文字 字符"/>
    <w:basedOn w:val="41"/>
    <w:link w:val="14"/>
    <w:qFormat/>
    <w:uiPriority w:val="0"/>
    <w:rPr>
      <w:rFonts w:ascii="Times New Roman" w:hAnsi="Times New Roman" w:eastAsia="宋体" w:cs="Times New Roman"/>
      <w:szCs w:val="24"/>
    </w:rPr>
  </w:style>
  <w:style w:type="character" w:customStyle="1" w:styleId="63">
    <w:name w:val="批注主题 字符"/>
    <w:basedOn w:val="62"/>
    <w:link w:val="37"/>
    <w:semiHidden/>
    <w:qFormat/>
    <w:uiPriority w:val="0"/>
    <w:rPr>
      <w:rFonts w:ascii="Times New Roman" w:hAnsi="Times New Roman" w:eastAsia="宋体" w:cs="Times New Roman"/>
      <w:b/>
      <w:bCs/>
      <w:szCs w:val="20"/>
    </w:rPr>
  </w:style>
  <w:style w:type="character" w:customStyle="1" w:styleId="64">
    <w:name w:val="文档结构图 字符"/>
    <w:basedOn w:val="41"/>
    <w:link w:val="13"/>
    <w:qFormat/>
    <w:uiPriority w:val="0"/>
    <w:rPr>
      <w:rFonts w:ascii="宋体" w:hAnsi="Times New Roman" w:eastAsia="宋体" w:cs="Times New Roman"/>
      <w:sz w:val="18"/>
      <w:szCs w:val="18"/>
    </w:rPr>
  </w:style>
  <w:style w:type="character" w:customStyle="1" w:styleId="65">
    <w:name w:val="正文文本 字符"/>
    <w:basedOn w:val="41"/>
    <w:link w:val="16"/>
    <w:qFormat/>
    <w:uiPriority w:val="0"/>
    <w:rPr>
      <w:rFonts w:ascii="Times New Roman" w:hAnsi="Times New Roman" w:eastAsia="宋体" w:cs="Times New Roman"/>
      <w:sz w:val="28"/>
      <w:szCs w:val="20"/>
    </w:rPr>
  </w:style>
  <w:style w:type="character" w:customStyle="1" w:styleId="66">
    <w:name w:val="正文文本缩进 字符"/>
    <w:basedOn w:val="41"/>
    <w:link w:val="17"/>
    <w:qFormat/>
    <w:uiPriority w:val="0"/>
    <w:rPr>
      <w:rFonts w:ascii="楷体_GB2312" w:hAnsi="Times New Roman" w:eastAsia="楷体_GB2312" w:cs="Times New Roman"/>
      <w:kern w:val="0"/>
      <w:sz w:val="28"/>
      <w:szCs w:val="20"/>
    </w:rPr>
  </w:style>
  <w:style w:type="character" w:customStyle="1" w:styleId="67">
    <w:name w:val="纯文本 字符"/>
    <w:basedOn w:val="41"/>
    <w:link w:val="21"/>
    <w:qFormat/>
    <w:uiPriority w:val="0"/>
    <w:rPr>
      <w:rFonts w:ascii="宋体" w:hAnsi="Courier New" w:eastAsia="宋体" w:cs="Times New Roman"/>
      <w:szCs w:val="20"/>
    </w:rPr>
  </w:style>
  <w:style w:type="character" w:customStyle="1" w:styleId="68">
    <w:name w:val="日期 字符"/>
    <w:basedOn w:val="41"/>
    <w:link w:val="23"/>
    <w:qFormat/>
    <w:uiPriority w:val="0"/>
    <w:rPr>
      <w:rFonts w:ascii="Times New Roman" w:hAnsi="Times New Roman" w:eastAsia="宋体" w:cs="Times New Roman"/>
      <w:szCs w:val="20"/>
    </w:rPr>
  </w:style>
  <w:style w:type="character" w:customStyle="1" w:styleId="69">
    <w:name w:val="正文文本缩进 2 字符"/>
    <w:basedOn w:val="41"/>
    <w:link w:val="24"/>
    <w:qFormat/>
    <w:uiPriority w:val="0"/>
    <w:rPr>
      <w:rFonts w:ascii="仿宋_GB2312" w:hAnsi="宋体" w:eastAsia="仿宋_GB2312" w:cs="Times New Roman"/>
      <w:sz w:val="24"/>
      <w:szCs w:val="24"/>
    </w:rPr>
  </w:style>
  <w:style w:type="character" w:customStyle="1" w:styleId="70">
    <w:name w:val="副标题 字符"/>
    <w:basedOn w:val="41"/>
    <w:link w:val="30"/>
    <w:qFormat/>
    <w:uiPriority w:val="0"/>
    <w:rPr>
      <w:rFonts w:ascii="Cambria" w:hAnsi="Cambria" w:eastAsia="宋体" w:cs="黑体"/>
      <w:b/>
      <w:bCs/>
      <w:kern w:val="28"/>
      <w:sz w:val="32"/>
      <w:szCs w:val="32"/>
    </w:rPr>
  </w:style>
  <w:style w:type="character" w:customStyle="1" w:styleId="71">
    <w:name w:val="正文文本缩进 3 字符"/>
    <w:basedOn w:val="41"/>
    <w:link w:val="32"/>
    <w:qFormat/>
    <w:uiPriority w:val="0"/>
    <w:rPr>
      <w:rFonts w:ascii="Times New Roman" w:hAnsi="Times New Roman" w:eastAsia="宋体" w:cs="Times New Roman"/>
      <w:sz w:val="24"/>
      <w:szCs w:val="20"/>
    </w:rPr>
  </w:style>
  <w:style w:type="character" w:customStyle="1" w:styleId="72">
    <w:name w:val="标题 字符"/>
    <w:basedOn w:val="41"/>
    <w:link w:val="36"/>
    <w:qFormat/>
    <w:uiPriority w:val="0"/>
    <w:rPr>
      <w:rFonts w:ascii="Cambria" w:hAnsi="Cambria" w:eastAsia="宋体" w:cs="Times New Roman"/>
      <w:b/>
      <w:bCs/>
      <w:sz w:val="32"/>
      <w:szCs w:val="32"/>
    </w:rPr>
  </w:style>
  <w:style w:type="paragraph" w:customStyle="1" w:styleId="73">
    <w:name w:val="TOC 标题1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74">
    <w:name w:val="_Style 36"/>
    <w:basedOn w:val="1"/>
    <w:qFormat/>
    <w:uiPriority w:val="34"/>
    <w:pPr>
      <w:ind w:firstLine="420" w:firstLineChars="200"/>
    </w:pPr>
    <w:rPr>
      <w:szCs w:val="20"/>
    </w:rPr>
  </w:style>
  <w:style w:type="paragraph" w:customStyle="1" w:styleId="75">
    <w:name w:val="Char Char Char Char Char Char Char Char Char Char Char Char Char"/>
    <w:basedOn w:val="13"/>
    <w:qFormat/>
    <w:uiPriority w:val="0"/>
    <w:pPr>
      <w:shd w:val="clear" w:color="auto" w:fill="000080"/>
    </w:pPr>
    <w:rPr>
      <w:rFonts w:ascii="Tahoma" w:hAnsi="Tahoma"/>
      <w:sz w:val="24"/>
      <w:szCs w:val="24"/>
    </w:rPr>
  </w:style>
  <w:style w:type="paragraph" w:customStyle="1" w:styleId="76">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7">
    <w:name w:val="新定义正文"/>
    <w:basedOn w:val="1"/>
    <w:qFormat/>
    <w:uiPriority w:val="0"/>
    <w:pPr>
      <w:widowControl/>
    </w:pPr>
    <w:rPr>
      <w:color w:val="000000"/>
      <w:szCs w:val="21"/>
    </w:rPr>
  </w:style>
  <w:style w:type="paragraph" w:customStyle="1" w:styleId="78">
    <w:name w:val="节"/>
    <w:basedOn w:val="3"/>
    <w:qFormat/>
    <w:uiPriority w:val="0"/>
    <w:pPr>
      <w:numPr>
        <w:ilvl w:val="1"/>
        <w:numId w:val="1"/>
      </w:numPr>
      <w:tabs>
        <w:tab w:val="left" w:pos="432"/>
      </w:tabs>
      <w:spacing w:line="240" w:lineRule="auto"/>
    </w:pPr>
    <w:rPr>
      <w:rFonts w:ascii="黑体"/>
      <w:b w:val="0"/>
      <w:sz w:val="28"/>
      <w:szCs w:val="28"/>
    </w:rPr>
  </w:style>
  <w:style w:type="paragraph" w:customStyle="1" w:styleId="79">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0">
    <w:name w:val="列出段落1"/>
    <w:basedOn w:val="1"/>
    <w:qFormat/>
    <w:uiPriority w:val="0"/>
    <w:pPr>
      <w:ind w:firstLine="420" w:firstLineChars="200"/>
    </w:pPr>
    <w:rPr>
      <w:szCs w:val="20"/>
    </w:rPr>
  </w:style>
  <w:style w:type="paragraph" w:customStyle="1" w:styleId="81">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82">
    <w:name w:val="Char Char1"/>
    <w:qFormat/>
    <w:uiPriority w:val="0"/>
    <w:rPr>
      <w:rFonts w:ascii="楷体_GB2312" w:eastAsia="楷体_GB2312"/>
      <w:sz w:val="28"/>
    </w:rPr>
  </w:style>
  <w:style w:type="character" w:customStyle="1" w:styleId="83">
    <w:name w:val="Char Char"/>
    <w:qFormat/>
    <w:uiPriority w:val="0"/>
    <w:rPr>
      <w:rFonts w:ascii="宋体"/>
      <w:kern w:val="2"/>
      <w:sz w:val="18"/>
      <w:szCs w:val="18"/>
    </w:rPr>
  </w:style>
  <w:style w:type="paragraph" w:customStyle="1" w:styleId="84">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85">
    <w:name w:val="样式 标题 3 + (中文) 黑体 小四 非加粗 段前: 7.8 磅 段后: 0 磅 行距: 固定值 20 磅"/>
    <w:basedOn w:val="5"/>
    <w:qFormat/>
    <w:uiPriority w:val="0"/>
    <w:pPr>
      <w:autoSpaceDE/>
      <w:autoSpaceDN/>
      <w:adjustRightInd/>
      <w:spacing w:before="0" w:after="0" w:line="400" w:lineRule="exact"/>
    </w:pPr>
    <w:rPr>
      <w:rFonts w:ascii="Times New Roman" w:cs="宋体"/>
      <w:kern w:val="2"/>
      <w:sz w:val="24"/>
    </w:rPr>
  </w:style>
  <w:style w:type="character" w:customStyle="1" w:styleId="86">
    <w:name w:val="批注文字 Char1"/>
    <w:qFormat/>
    <w:uiPriority w:val="99"/>
    <w:rPr>
      <w:kern w:val="2"/>
      <w:sz w:val="21"/>
    </w:rPr>
  </w:style>
  <w:style w:type="character" w:customStyle="1" w:styleId="87">
    <w:name w:val="正文文本 3 字符"/>
    <w:basedOn w:val="41"/>
    <w:link w:val="15"/>
    <w:semiHidden/>
    <w:qFormat/>
    <w:uiPriority w:val="99"/>
    <w:rPr>
      <w:rFonts w:ascii="Times New Roman" w:hAnsi="Times New Roman" w:eastAsia="宋体" w:cs="Times New Roman"/>
      <w:sz w:val="16"/>
      <w:szCs w:val="16"/>
    </w:rPr>
  </w:style>
  <w:style w:type="paragraph" w:customStyle="1" w:styleId="88">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89">
    <w:name w:val="正文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0">
    <w:name w:val="列表段落 字符"/>
    <w:link w:val="48"/>
    <w:qFormat/>
    <w:locked/>
    <w:uiPriority w:val="99"/>
    <w:rPr>
      <w:rFonts w:ascii="Times New Roman" w:hAnsi="Times New Roman" w:eastAsia="宋体" w:cs="Times New Roman"/>
      <w:kern w:val="2"/>
      <w:sz w:val="21"/>
      <w:szCs w:val="24"/>
    </w:rPr>
  </w:style>
  <w:style w:type="paragraph" w:customStyle="1" w:styleId="91">
    <w:name w:val="自定义段落"/>
    <w:basedOn w:val="1"/>
    <w:next w:val="48"/>
    <w:qFormat/>
    <w:uiPriority w:val="99"/>
    <w:pPr>
      <w:ind w:firstLine="420" w:firstLineChars="200"/>
    </w:pPr>
    <w:rPr>
      <w:kern w:val="0"/>
      <w:sz w:val="24"/>
    </w:rPr>
  </w:style>
  <w:style w:type="paragraph" w:customStyle="1" w:styleId="92">
    <w:name w:val="编号-正文章条1级标题(进目录)"/>
    <w:basedOn w:val="1"/>
    <w:qFormat/>
    <w:uiPriority w:val="0"/>
    <w:pPr>
      <w:numPr>
        <w:ilvl w:val="0"/>
        <w:numId w:val="2"/>
      </w:numPr>
      <w:spacing w:beforeLines="100" w:afterLines="50"/>
      <w:outlineLvl w:val="0"/>
    </w:pPr>
    <w:rPr>
      <w:rFonts w:ascii="Arial" w:hAnsi="Arial" w:eastAsia="黑体"/>
      <w:sz w:val="28"/>
      <w:szCs w:val="24"/>
    </w:rPr>
  </w:style>
  <w:style w:type="paragraph" w:customStyle="1" w:styleId="93">
    <w:name w:val="编号-正文章条2级标题(进目录)"/>
    <w:basedOn w:val="1"/>
    <w:qFormat/>
    <w:uiPriority w:val="0"/>
    <w:pPr>
      <w:numPr>
        <w:ilvl w:val="1"/>
        <w:numId w:val="2"/>
      </w:numPr>
      <w:spacing w:beforeLines="50"/>
      <w:ind w:left="0"/>
      <w:jc w:val="left"/>
      <w:outlineLvl w:val="1"/>
    </w:pPr>
    <w:rPr>
      <w:rFonts w:ascii="Arial" w:hAnsi="Arial"/>
      <w:sz w:val="24"/>
      <w:szCs w:val="24"/>
    </w:rPr>
  </w:style>
  <w:style w:type="paragraph" w:customStyle="1" w:styleId="94">
    <w:name w:val="编号-列项1级"/>
    <w:basedOn w:val="1"/>
    <w:qFormat/>
    <w:uiPriority w:val="0"/>
    <w:pPr>
      <w:numPr>
        <w:ilvl w:val="0"/>
        <w:numId w:val="3"/>
      </w:numPr>
      <w:jc w:val="left"/>
    </w:pPr>
    <w:rPr>
      <w:rFonts w:ascii="Arial" w:hAnsi="Arial"/>
      <w:sz w:val="24"/>
      <w:szCs w:val="24"/>
    </w:rPr>
  </w:style>
  <w:style w:type="paragraph" w:customStyle="1" w:styleId="95">
    <w:name w:val="编号-正文章条1级条(不进目录)"/>
    <w:basedOn w:val="1"/>
    <w:qFormat/>
    <w:uiPriority w:val="0"/>
    <w:rPr>
      <w:rFonts w:ascii="微软雅黑" w:hAnsi="微软雅黑" w:eastAsia="微软雅黑"/>
      <w:sz w:val="24"/>
    </w:rPr>
  </w:style>
  <w:style w:type="character" w:customStyle="1" w:styleId="96">
    <w:name w:val="font01"/>
    <w:basedOn w:val="41"/>
    <w:qFormat/>
    <w:uiPriority w:val="0"/>
    <w:rPr>
      <w:rFonts w:hint="eastAsia" w:ascii="宋体" w:hAnsi="宋体" w:eastAsia="宋体" w:cs="宋体"/>
      <w:color w:val="000000"/>
      <w:sz w:val="24"/>
      <w:szCs w:val="24"/>
      <w:u w:val="none"/>
    </w:rPr>
  </w:style>
  <w:style w:type="character" w:customStyle="1" w:styleId="97">
    <w:name w:val="font21"/>
    <w:basedOn w:val="41"/>
    <w:qFormat/>
    <w:uiPriority w:val="0"/>
    <w:rPr>
      <w:rFonts w:hint="eastAsia" w:ascii="仿宋" w:hAnsi="仿宋" w:eastAsia="仿宋" w:cs="仿宋"/>
      <w:color w:val="000000"/>
      <w:sz w:val="24"/>
      <w:szCs w:val="24"/>
      <w:u w:val="none"/>
    </w:rPr>
  </w:style>
  <w:style w:type="paragraph" w:customStyle="1" w:styleId="98">
    <w:name w:val="样式 文档正文 Char + (西文) 宋体 (中文) 宋体 小四 黑色"/>
    <w:basedOn w:val="1"/>
    <w:qFormat/>
    <w:uiPriority w:val="0"/>
    <w:pPr>
      <w:adjustRightInd w:val="0"/>
      <w:snapToGrid w:val="0"/>
      <w:ind w:firstLine="567"/>
      <w:textAlignment w:val="baseline"/>
    </w:pPr>
    <w:rPr>
      <w:rFonts w:ascii="宋体" w:hAnsi="宋体"/>
      <w:color w:val="000000"/>
    </w:rPr>
  </w:style>
  <w:style w:type="character" w:customStyle="1" w:styleId="99">
    <w:name w:val="font11"/>
    <w:basedOn w:val="41"/>
    <w:qFormat/>
    <w:uiPriority w:val="0"/>
    <w:rPr>
      <w:rFonts w:hint="eastAsia" w:ascii="仿宋" w:hAnsi="仿宋" w:eastAsia="仿宋" w:cs="仿宋"/>
      <w:color w:val="000000"/>
      <w:sz w:val="24"/>
      <w:szCs w:val="24"/>
      <w:u w:val="none"/>
    </w:rPr>
  </w:style>
  <w:style w:type="character" w:customStyle="1" w:styleId="100">
    <w:name w:val="font31"/>
    <w:basedOn w:val="41"/>
    <w:qFormat/>
    <w:uiPriority w:val="0"/>
    <w:rPr>
      <w:rFonts w:ascii="Arial" w:hAnsi="Arial" w:cs="Arial"/>
      <w:b/>
      <w:bCs/>
      <w:color w:val="000000"/>
      <w:sz w:val="20"/>
      <w:szCs w:val="20"/>
      <w:u w:val="none"/>
    </w:rPr>
  </w:style>
  <w:style w:type="character" w:customStyle="1" w:styleId="101">
    <w:name w:val="font41"/>
    <w:basedOn w:val="41"/>
    <w:qFormat/>
    <w:uiPriority w:val="0"/>
    <w:rPr>
      <w:rFonts w:hint="default" w:ascii="Arial" w:hAnsi="Arial" w:cs="Arial"/>
      <w:color w:val="000000"/>
      <w:sz w:val="20"/>
      <w:szCs w:val="20"/>
      <w:u w:val="none"/>
    </w:rPr>
  </w:style>
  <w:style w:type="paragraph" w:customStyle="1" w:styleId="102">
    <w:name w:val="List Paragraph1"/>
    <w:qFormat/>
    <w:uiPriority w:val="0"/>
    <w:pPr>
      <w:widowControl/>
      <w:spacing w:line="360" w:lineRule="auto"/>
      <w:ind w:firstLine="200"/>
      <w:jc w:val="both"/>
    </w:pPr>
    <w:rPr>
      <w:rFonts w:ascii="Calibri" w:hAnsi="Calibri" w:eastAsia="宋体" w:cs="黑体"/>
      <w:kern w:val="0"/>
      <w:sz w:val="24"/>
      <w:szCs w:val="24"/>
      <w:lang w:val="en-US" w:eastAsia="zh-CN" w:bidi="ar-SA"/>
    </w:rPr>
  </w:style>
  <w:style w:type="table" w:customStyle="1" w:styleId="103">
    <w:name w:val="Table Normal"/>
    <w:semiHidden/>
    <w:unhideWhenUsed/>
    <w:qFormat/>
    <w:uiPriority w:val="0"/>
    <w:pPr>
      <w:spacing w:after="160" w:line="278" w:lineRule="auto"/>
    </w:pPr>
    <w:rPr>
      <w:rFonts w:ascii="Arial" w:hAnsi="Arial" w:eastAsia="宋体" w:cs="Arial"/>
      <w:snapToGrid w:val="0"/>
      <w:color w:val="000000"/>
      <w:sz w:val="21"/>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C61ABA-4B85-47FB-A31F-892F29BDD9A5}">
  <ds:schemaRefs/>
</ds:datastoreItem>
</file>

<file path=docProps/app.xml><?xml version="1.0" encoding="utf-8"?>
<Properties xmlns="http://schemas.openxmlformats.org/officeDocument/2006/extended-properties" xmlns:vt="http://schemas.openxmlformats.org/officeDocument/2006/docPropsVTypes">
  <Template>Normal.dotm</Template>
  <Pages>129</Pages>
  <Words>3421</Words>
  <Characters>4055</Characters>
  <Lines>320</Lines>
  <Paragraphs>90</Paragraphs>
  <TotalTime>1</TotalTime>
  <ScaleCrop>false</ScaleCrop>
  <LinksUpToDate>false</LinksUpToDate>
  <CharactersWithSpaces>4172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2020-09-27T01:53:00Z</dcterms:created>
  <dcterms:modified xsi:type="dcterms:W3CDTF">2025-09-26T09:11:50Z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66DDC0B56A034D6F9F208347B31D7773_13</vt:lpwstr>
  </property>
  <property fmtid="{D5CDD505-2E9C-101B-9397-08002B2CF9AE}" pid="4" name="KSOTemplateDocerSaveRecord">
    <vt:lpwstr>eyJoZGlkIjoiNjNhN2JjZGRmZGEwN2I3NmY2M2E1OWVkYjM1MDViYTMiLCJ1c2VySWQiOiIzMjU2NTk3NjgifQ==</vt:lpwstr>
  </property>
</Properties>
</file>