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B3D286">
      <w:pPr>
        <w:spacing w:line="276" w:lineRule="auto"/>
        <w:jc w:val="center"/>
        <w:rPr>
          <w:rFonts w:ascii="黑体" w:hAnsi="黑体" w:eastAsia="黑体" w:cs="黑体"/>
          <w:bCs/>
          <w:color w:val="000000" w:themeColor="text1"/>
          <w:sz w:val="44"/>
          <w:szCs w:val="44"/>
          <w:highlight w:val="none"/>
          <w14:textFill>
            <w14:solidFill>
              <w14:schemeClr w14:val="tx1"/>
            </w14:solidFill>
          </w14:textFill>
        </w:rPr>
      </w:pPr>
    </w:p>
    <w:p w14:paraId="3E8676CC">
      <w:pPr>
        <w:spacing w:line="276" w:lineRule="auto"/>
        <w:jc w:val="center"/>
        <w:rPr>
          <w:rFonts w:ascii="黑体" w:hAnsi="黑体" w:eastAsia="黑体" w:cs="黑体"/>
          <w:bCs/>
          <w:color w:val="000000" w:themeColor="text1"/>
          <w:sz w:val="44"/>
          <w:szCs w:val="44"/>
          <w:highlight w:val="none"/>
          <w14:textFill>
            <w14:solidFill>
              <w14:schemeClr w14:val="tx1"/>
            </w14:solidFill>
          </w14:textFill>
        </w:rPr>
      </w:pPr>
    </w:p>
    <w:p w14:paraId="0A624D19">
      <w:pPr>
        <w:spacing w:line="276" w:lineRule="auto"/>
        <w:jc w:val="center"/>
        <w:rPr>
          <w:rFonts w:ascii="黑体" w:hAnsi="黑体" w:eastAsia="黑体" w:cs="黑体"/>
          <w:bCs/>
          <w:color w:val="000000" w:themeColor="text1"/>
          <w:sz w:val="44"/>
          <w:szCs w:val="44"/>
          <w:highlight w:val="none"/>
          <w14:textFill>
            <w14:solidFill>
              <w14:schemeClr w14:val="tx1"/>
            </w14:solidFill>
          </w14:textFill>
        </w:rPr>
      </w:pPr>
    </w:p>
    <w:p w14:paraId="2B2FE2EE">
      <w:pPr>
        <w:spacing w:line="276" w:lineRule="auto"/>
        <w:jc w:val="center"/>
        <w:rPr>
          <w:rFonts w:ascii="黑体" w:hAnsi="黑体" w:eastAsia="黑体" w:cs="黑体"/>
          <w:bCs/>
          <w:color w:val="000000" w:themeColor="text1"/>
          <w:sz w:val="44"/>
          <w:szCs w:val="44"/>
          <w:highlight w:val="none"/>
          <w14:textFill>
            <w14:solidFill>
              <w14:schemeClr w14:val="tx1"/>
            </w14:solidFill>
          </w14:textFill>
        </w:rPr>
      </w:pPr>
    </w:p>
    <w:p w14:paraId="0E9ECDC9">
      <w:pPr>
        <w:spacing w:line="276" w:lineRule="auto"/>
        <w:jc w:val="center"/>
        <w:rPr>
          <w:rFonts w:ascii="黑体" w:hAnsi="黑体" w:eastAsia="黑体" w:cs="黑体"/>
          <w:bCs/>
          <w:color w:val="000000" w:themeColor="text1"/>
          <w:sz w:val="44"/>
          <w:szCs w:val="44"/>
          <w:highlight w:val="none"/>
          <w14:textFill>
            <w14:solidFill>
              <w14:schemeClr w14:val="tx1"/>
            </w14:solidFill>
          </w14:textFill>
        </w:rPr>
      </w:pPr>
    </w:p>
    <w:p w14:paraId="6C049AB1">
      <w:pPr>
        <w:spacing w:line="276" w:lineRule="auto"/>
        <w:jc w:val="center"/>
        <w:rPr>
          <w:rFonts w:ascii="黑体" w:hAnsi="黑体" w:eastAsia="黑体" w:cs="黑体"/>
          <w:bCs/>
          <w:color w:val="000000" w:themeColor="text1"/>
          <w:sz w:val="44"/>
          <w:szCs w:val="44"/>
          <w:highlight w:val="none"/>
          <w14:textFill>
            <w14:solidFill>
              <w14:schemeClr w14:val="tx1"/>
            </w14:solidFill>
          </w14:textFill>
        </w:rPr>
      </w:pPr>
    </w:p>
    <w:p w14:paraId="375C3426">
      <w:pPr>
        <w:spacing w:line="276" w:lineRule="auto"/>
        <w:jc w:val="center"/>
        <w:rPr>
          <w:rFonts w:ascii="黑体" w:hAnsi="黑体" w:eastAsia="黑体" w:cs="黑体"/>
          <w:bCs/>
          <w:color w:val="000000" w:themeColor="text1"/>
          <w:sz w:val="44"/>
          <w:szCs w:val="44"/>
          <w:highlight w:val="none"/>
          <w14:textFill>
            <w14:solidFill>
              <w14:schemeClr w14:val="tx1"/>
            </w14:solidFill>
          </w14:textFill>
        </w:rPr>
      </w:pPr>
      <w:r>
        <w:rPr>
          <w:rFonts w:ascii="黑体" w:hAnsi="黑体" w:eastAsia="黑体" w:cs="黑体"/>
          <w:bCs/>
          <w:color w:val="000000" w:themeColor="text1"/>
          <w:sz w:val="44"/>
          <w:szCs w:val="44"/>
          <w:highlight w:val="none"/>
          <w14:textFill>
            <w14:solidFill>
              <w14:schemeClr w14:val="tx1"/>
            </w14:solidFill>
          </w14:textFill>
        </w:rPr>
        <w:t>2026年工业5G专网一体化设备量产代工项目公开招标采购</w:t>
      </w:r>
      <w:r>
        <w:rPr>
          <w:rFonts w:hint="eastAsia" w:ascii="黑体" w:hAnsi="黑体" w:eastAsia="黑体" w:cs="黑体"/>
          <w:bCs/>
          <w:color w:val="000000" w:themeColor="text1"/>
          <w:sz w:val="44"/>
          <w:szCs w:val="44"/>
          <w:highlight w:val="none"/>
          <w14:textFill>
            <w14:solidFill>
              <w14:schemeClr w14:val="tx1"/>
            </w14:solidFill>
          </w14:textFill>
        </w:rPr>
        <w:t>项目</w:t>
      </w:r>
    </w:p>
    <w:p w14:paraId="49CB60CB">
      <w:pPr>
        <w:spacing w:line="276" w:lineRule="auto"/>
        <w:jc w:val="center"/>
        <w:rPr>
          <w:rFonts w:ascii="黑体" w:hAnsi="黑体" w:eastAsia="黑体" w:cs="黑体"/>
          <w:bCs/>
          <w:color w:val="000000" w:themeColor="text1"/>
          <w:sz w:val="44"/>
          <w:szCs w:val="44"/>
          <w:highlight w:val="none"/>
          <w14:textFill>
            <w14:solidFill>
              <w14:schemeClr w14:val="tx1"/>
            </w14:solidFill>
          </w14:textFill>
        </w:rPr>
      </w:pPr>
      <w:r>
        <w:rPr>
          <w:rFonts w:hint="eastAsia" w:ascii="黑体" w:hAnsi="黑体" w:eastAsia="黑体" w:cs="黑体"/>
          <w:bCs/>
          <w:color w:val="000000" w:themeColor="text1"/>
          <w:sz w:val="44"/>
          <w:szCs w:val="44"/>
          <w:highlight w:val="none"/>
          <w14:textFill>
            <w14:solidFill>
              <w14:schemeClr w14:val="tx1"/>
            </w14:solidFill>
          </w14:textFill>
        </w:rPr>
        <w:t>技术规范书</w:t>
      </w:r>
    </w:p>
    <w:p w14:paraId="2881FB5A">
      <w:pPr>
        <w:pStyle w:val="9"/>
        <w:spacing w:line="276" w:lineRule="auto"/>
        <w:rPr>
          <w:rFonts w:ascii="黑体" w:hAnsi="黑体" w:eastAsia="黑体" w:cs="黑体"/>
          <w:bCs/>
          <w:color w:val="000000" w:themeColor="text1"/>
          <w:sz w:val="44"/>
          <w:szCs w:val="44"/>
          <w:highlight w:val="none"/>
          <w14:textFill>
            <w14:solidFill>
              <w14:schemeClr w14:val="tx1"/>
            </w14:solidFill>
          </w14:textFill>
        </w:rPr>
      </w:pPr>
      <w:r>
        <w:rPr>
          <w:rFonts w:hint="eastAsia" w:ascii="黑体" w:hAnsi="黑体" w:eastAsia="黑体" w:cs="黑体"/>
          <w:bCs/>
          <w:color w:val="000000" w:themeColor="text1"/>
          <w:sz w:val="44"/>
          <w:szCs w:val="44"/>
          <w:highlight w:val="none"/>
          <w14:textFill>
            <w14:solidFill>
              <w14:schemeClr w14:val="tx1"/>
            </w14:solidFill>
          </w14:textFill>
        </w:rPr>
        <w:t xml:space="preserve">  </w:t>
      </w:r>
    </w:p>
    <w:p w14:paraId="2B3EE8BA">
      <w:pPr>
        <w:pStyle w:val="9"/>
        <w:spacing w:line="276" w:lineRule="auto"/>
        <w:rPr>
          <w:rFonts w:hint="eastAsia" w:ascii="黑体" w:hAnsi="黑体" w:eastAsia="黑体" w:cs="黑体"/>
          <w:bCs/>
          <w:color w:val="000000" w:themeColor="text1"/>
          <w:sz w:val="44"/>
          <w:szCs w:val="44"/>
          <w:highlight w:val="none"/>
          <w14:textFill>
            <w14:solidFill>
              <w14:schemeClr w14:val="tx1"/>
            </w14:solidFill>
          </w14:textFill>
        </w:rPr>
      </w:pPr>
    </w:p>
    <w:p w14:paraId="1D35237C">
      <w:pPr>
        <w:pStyle w:val="9"/>
        <w:spacing w:line="276" w:lineRule="auto"/>
        <w:rPr>
          <w:rFonts w:ascii="黑体" w:hAnsi="黑体" w:eastAsia="黑体" w:cs="黑体"/>
          <w:bCs/>
          <w:color w:val="000000" w:themeColor="text1"/>
          <w:sz w:val="44"/>
          <w:szCs w:val="44"/>
          <w:highlight w:val="none"/>
          <w14:textFill>
            <w14:solidFill>
              <w14:schemeClr w14:val="tx1"/>
            </w14:solidFill>
          </w14:textFill>
        </w:rPr>
      </w:pPr>
    </w:p>
    <w:p w14:paraId="0D994B01">
      <w:pPr>
        <w:pStyle w:val="9"/>
        <w:spacing w:line="276" w:lineRule="auto"/>
        <w:rPr>
          <w:rFonts w:ascii="黑体" w:hAnsi="黑体" w:eastAsia="黑体" w:cs="黑体"/>
          <w:bCs/>
          <w:color w:val="000000" w:themeColor="text1"/>
          <w:sz w:val="44"/>
          <w:szCs w:val="44"/>
          <w:highlight w:val="none"/>
          <w14:textFill>
            <w14:solidFill>
              <w14:schemeClr w14:val="tx1"/>
            </w14:solidFill>
          </w14:textFill>
        </w:rPr>
      </w:pPr>
    </w:p>
    <w:p w14:paraId="04EA3D70">
      <w:pPr>
        <w:pStyle w:val="9"/>
        <w:spacing w:line="276" w:lineRule="auto"/>
        <w:rPr>
          <w:rFonts w:ascii="黑体" w:hAnsi="黑体" w:eastAsia="黑体" w:cs="黑体"/>
          <w:bCs/>
          <w:color w:val="000000" w:themeColor="text1"/>
          <w:sz w:val="44"/>
          <w:szCs w:val="44"/>
          <w:highlight w:val="none"/>
          <w14:textFill>
            <w14:solidFill>
              <w14:schemeClr w14:val="tx1"/>
            </w14:solidFill>
          </w14:textFill>
        </w:rPr>
      </w:pPr>
    </w:p>
    <w:p w14:paraId="476D2633">
      <w:pPr>
        <w:pStyle w:val="9"/>
        <w:spacing w:line="276" w:lineRule="auto"/>
        <w:rPr>
          <w:rFonts w:ascii="黑体" w:hAnsi="黑体" w:eastAsia="黑体" w:cs="黑体"/>
          <w:bCs/>
          <w:color w:val="000000" w:themeColor="text1"/>
          <w:sz w:val="44"/>
          <w:szCs w:val="44"/>
          <w:highlight w:val="none"/>
          <w14:textFill>
            <w14:solidFill>
              <w14:schemeClr w14:val="tx1"/>
            </w14:solidFill>
          </w14:textFill>
        </w:rPr>
      </w:pPr>
    </w:p>
    <w:p w14:paraId="1A1F8137">
      <w:pPr>
        <w:spacing w:line="276" w:lineRule="auto"/>
        <w:jc w:val="center"/>
        <w:rPr>
          <w:rFonts w:ascii="仿宋_GB2312" w:hAnsi="仿宋_GB2312" w:eastAsia="仿宋_GB2312" w:cs="仿宋_GB2312"/>
          <w:color w:val="000000" w:themeColor="text1"/>
          <w:sz w:val="30"/>
          <w:szCs w:val="30"/>
          <w:highlight w:val="none"/>
          <w14:textFill>
            <w14:solidFill>
              <w14:schemeClr w14:val="tx1"/>
            </w14:solidFill>
          </w14:textFill>
        </w:rPr>
      </w:pPr>
      <w:r>
        <w:rPr>
          <w:rFonts w:hint="eastAsia" w:ascii="仿宋_GB2312" w:hAnsi="仿宋_GB2312" w:eastAsia="仿宋_GB2312" w:cs="仿宋_GB2312"/>
          <w:color w:val="000000" w:themeColor="text1"/>
          <w:sz w:val="30"/>
          <w:szCs w:val="30"/>
          <w:highlight w:val="none"/>
          <w14:textFill>
            <w14:solidFill>
              <w14:schemeClr w14:val="tx1"/>
            </w14:solidFill>
          </w14:textFill>
        </w:rPr>
        <w:t xml:space="preserve"> 中移湾区（广东）创新研究院有限公司</w:t>
      </w:r>
    </w:p>
    <w:p w14:paraId="0B442AF7">
      <w:pPr>
        <w:pStyle w:val="9"/>
        <w:spacing w:line="276" w:lineRule="auto"/>
        <w:rPr>
          <w:color w:val="000000" w:themeColor="text1"/>
          <w:highlight w:val="none"/>
          <w14:textFill>
            <w14:solidFill>
              <w14:schemeClr w14:val="tx1"/>
            </w14:solidFill>
          </w14:textFill>
        </w:rPr>
      </w:pPr>
    </w:p>
    <w:p w14:paraId="07FD6C28">
      <w:pPr>
        <w:spacing w:line="276" w:lineRule="auto"/>
        <w:jc w:val="center"/>
        <w:rPr>
          <w:rFonts w:ascii="仿宋_GB2312" w:hAnsi="仿宋_GB2312" w:eastAsia="仿宋_GB2312" w:cs="仿宋_GB2312"/>
          <w:color w:val="000000" w:themeColor="text1"/>
          <w:sz w:val="30"/>
          <w:szCs w:val="30"/>
          <w:highlight w:val="none"/>
          <w14:textFill>
            <w14:solidFill>
              <w14:schemeClr w14:val="tx1"/>
            </w14:solidFill>
          </w14:textFill>
        </w:rPr>
      </w:pPr>
      <w:r>
        <w:rPr>
          <w:rFonts w:hint="eastAsia" w:ascii="仿宋_GB2312" w:hAnsi="仿宋_GB2312" w:eastAsia="仿宋_GB2312" w:cs="仿宋_GB2312"/>
          <w:color w:val="000000" w:themeColor="text1"/>
          <w:sz w:val="30"/>
          <w:szCs w:val="30"/>
          <w:highlight w:val="none"/>
          <w14:textFill>
            <w14:solidFill>
              <w14:schemeClr w14:val="tx1"/>
            </w14:solidFill>
          </w14:textFill>
        </w:rPr>
        <w:t xml:space="preserve">  202</w:t>
      </w:r>
      <w:r>
        <w:rPr>
          <w:rFonts w:ascii="仿宋_GB2312" w:hAnsi="仿宋_GB2312" w:eastAsia="仿宋_GB2312" w:cs="仿宋_GB2312"/>
          <w:color w:val="000000" w:themeColor="text1"/>
          <w:sz w:val="30"/>
          <w:szCs w:val="30"/>
          <w:highlight w:val="none"/>
          <w14:textFill>
            <w14:solidFill>
              <w14:schemeClr w14:val="tx1"/>
            </w14:solidFill>
          </w14:textFill>
        </w:rPr>
        <w:t>6</w:t>
      </w:r>
      <w:r>
        <w:rPr>
          <w:rFonts w:hint="eastAsia" w:ascii="仿宋_GB2312" w:hAnsi="仿宋_GB2312" w:eastAsia="仿宋_GB2312" w:cs="仿宋_GB2312"/>
          <w:color w:val="000000" w:themeColor="text1"/>
          <w:sz w:val="30"/>
          <w:szCs w:val="30"/>
          <w:highlight w:val="none"/>
          <w14:textFill>
            <w14:solidFill>
              <w14:schemeClr w14:val="tx1"/>
            </w14:solidFill>
          </w14:textFill>
        </w:rPr>
        <w:t>年</w:t>
      </w:r>
      <w:r>
        <w:rPr>
          <w:rFonts w:ascii="仿宋_GB2312" w:hAnsi="仿宋_GB2312" w:eastAsia="仿宋_GB2312" w:cs="仿宋_GB2312"/>
          <w:color w:val="000000" w:themeColor="text1"/>
          <w:sz w:val="30"/>
          <w:szCs w:val="30"/>
          <w:highlight w:val="none"/>
          <w14:textFill>
            <w14:solidFill>
              <w14:schemeClr w14:val="tx1"/>
            </w14:solidFill>
          </w14:textFill>
        </w:rPr>
        <w:t>4</w:t>
      </w:r>
      <w:r>
        <w:rPr>
          <w:rFonts w:hint="eastAsia" w:ascii="仿宋_GB2312" w:hAnsi="仿宋_GB2312" w:eastAsia="仿宋_GB2312" w:cs="仿宋_GB2312"/>
          <w:color w:val="000000" w:themeColor="text1"/>
          <w:sz w:val="30"/>
          <w:szCs w:val="30"/>
          <w:highlight w:val="none"/>
          <w14:textFill>
            <w14:solidFill>
              <w14:schemeClr w14:val="tx1"/>
            </w14:solidFill>
          </w14:textFill>
        </w:rPr>
        <w:t>月</w:t>
      </w:r>
    </w:p>
    <w:p w14:paraId="7071A080">
      <w:pPr>
        <w:pStyle w:val="9"/>
        <w:spacing w:line="276" w:lineRule="auto"/>
        <w:rPr>
          <w:rFonts w:ascii="仿宋_GB2312" w:hAnsi="仿宋_GB2312" w:eastAsia="仿宋_GB2312" w:cs="仿宋_GB2312"/>
          <w:color w:val="000000" w:themeColor="text1"/>
          <w:sz w:val="30"/>
          <w:szCs w:val="30"/>
          <w:highlight w:val="none"/>
          <w14:textFill>
            <w14:solidFill>
              <w14:schemeClr w14:val="tx1"/>
            </w14:solidFill>
          </w14:textFill>
        </w:rPr>
      </w:pPr>
    </w:p>
    <w:p w14:paraId="65FCFB42">
      <w:pPr>
        <w:pStyle w:val="9"/>
        <w:spacing w:line="276" w:lineRule="auto"/>
        <w:rPr>
          <w:rFonts w:ascii="仿宋_GB2312" w:hAnsi="仿宋_GB2312" w:eastAsia="仿宋_GB2312" w:cs="仿宋_GB2312"/>
          <w:color w:val="000000" w:themeColor="text1"/>
          <w:sz w:val="30"/>
          <w:szCs w:val="30"/>
          <w:highlight w:val="none"/>
          <w14:textFill>
            <w14:solidFill>
              <w14:schemeClr w14:val="tx1"/>
            </w14:solidFill>
          </w14:textFill>
        </w:rPr>
      </w:pPr>
    </w:p>
    <w:p w14:paraId="5192DAF0">
      <w:pPr>
        <w:pStyle w:val="9"/>
        <w:spacing w:line="276" w:lineRule="auto"/>
        <w:rPr>
          <w:rFonts w:ascii="仿宋_GB2312" w:hAnsi="仿宋_GB2312" w:eastAsia="仿宋_GB2312" w:cs="仿宋_GB2312"/>
          <w:color w:val="000000" w:themeColor="text1"/>
          <w:sz w:val="30"/>
          <w:szCs w:val="30"/>
          <w:highlight w:val="none"/>
          <w14:textFill>
            <w14:solidFill>
              <w14:schemeClr w14:val="tx1"/>
            </w14:solidFill>
          </w14:textFill>
        </w:rPr>
      </w:pPr>
    </w:p>
    <w:sdt>
      <w:sdtPr>
        <w:rPr>
          <w:rFonts w:ascii="Calibri" w:hAnsi="Calibri"/>
          <w:color w:val="000000" w:themeColor="text1"/>
          <w:sz w:val="21"/>
          <w:highlight w:val="none"/>
          <w14:textFill>
            <w14:solidFill>
              <w14:schemeClr w14:val="tx1"/>
            </w14:solidFill>
          </w14:textFill>
        </w:rPr>
        <w:id w:val="147482049"/>
        <w15:color w:val="DBDBDB"/>
        <w:docPartObj>
          <w:docPartGallery w:val="Table of Contents"/>
          <w:docPartUnique/>
        </w:docPartObj>
      </w:sdtPr>
      <w:sdtEndPr>
        <w:rPr>
          <w:rFonts w:hint="eastAsia" w:ascii="仿宋_GB2312" w:hAnsi="仿宋_GB2312" w:eastAsia="仿宋_GB2312" w:cs="仿宋_GB2312"/>
          <w:color w:val="000000" w:themeColor="text1"/>
          <w:sz w:val="28"/>
          <w:szCs w:val="28"/>
          <w:highlight w:val="none"/>
          <w14:textFill>
            <w14:solidFill>
              <w14:schemeClr w14:val="tx1"/>
            </w14:solidFill>
          </w14:textFill>
        </w:rPr>
      </w:sdtEndPr>
      <w:sdtContent>
        <w:p w14:paraId="0D25544A">
          <w:pPr>
            <w:spacing w:line="276" w:lineRule="auto"/>
            <w:jc w:val="center"/>
            <w:rPr>
              <w:rFonts w:ascii="仿宋_GB2312" w:hAnsi="仿宋_GB2312" w:eastAsia="仿宋_GB2312" w:cs="仿宋_GB2312"/>
              <w:bCs/>
              <w:color w:val="000000" w:themeColor="text1"/>
              <w:sz w:val="28"/>
              <w:szCs w:val="28"/>
              <w:highlight w:val="none"/>
              <w14:textFill>
                <w14:solidFill>
                  <w14:schemeClr w14:val="tx1"/>
                </w14:solidFill>
              </w14:textFill>
            </w:rPr>
          </w:pPr>
          <w:r>
            <w:rPr>
              <w:rFonts w:hint="eastAsia" w:ascii="仿宋_GB2312" w:hAnsi="仿宋_GB2312" w:eastAsia="仿宋_GB2312" w:cs="仿宋_GB2312"/>
              <w:bCs/>
              <w:color w:val="000000" w:themeColor="text1"/>
              <w:sz w:val="28"/>
              <w:szCs w:val="28"/>
              <w:highlight w:val="none"/>
              <w14:textFill>
                <w14:solidFill>
                  <w14:schemeClr w14:val="tx1"/>
                </w14:solidFill>
              </w14:textFill>
            </w:rPr>
            <w:t>目录</w:t>
          </w:r>
        </w:p>
        <w:p w14:paraId="7DA337CC">
          <w:pPr>
            <w:pStyle w:val="14"/>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28"/>
              <w:szCs w:val="28"/>
              <w:highlight w:val="none"/>
              <w14:textFill>
                <w14:solidFill>
                  <w14:schemeClr w14:val="tx1"/>
                </w14:solidFill>
              </w14:textFill>
            </w:rPr>
            <w:instrText xml:space="preserve">TOC \o "1-3" \h \u </w:instrText>
          </w:r>
          <w:r>
            <w:rPr>
              <w:rFonts w:hint="eastAsia" w:ascii="仿宋_GB2312" w:hAnsi="仿宋_GB2312" w:eastAsia="仿宋_GB2312" w:cs="仿宋_GB2312"/>
              <w:color w:val="000000" w:themeColor="text1"/>
              <w:sz w:val="28"/>
              <w:szCs w:val="28"/>
              <w:highlight w:val="none"/>
              <w14:textFill>
                <w14:solidFill>
                  <w14:schemeClr w14:val="tx1"/>
                </w14:solidFill>
              </w14:textFill>
            </w:rPr>
            <w:fldChar w:fldCharType="separate"/>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_Toc17868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_GB2312" w:hAnsi="仿宋_GB2312" w:cs="仿宋_GB2312"/>
              <w:bCs/>
              <w:color w:val="000000" w:themeColor="text1"/>
              <w:szCs w:val="28"/>
              <w:highlight w:val="none"/>
              <w14:textFill>
                <w14:solidFill>
                  <w14:schemeClr w14:val="tx1"/>
                </w14:solidFill>
              </w14:textFill>
            </w:rPr>
            <w:t xml:space="preserve">1. </w:t>
          </w:r>
          <w:r>
            <w:rPr>
              <w:rFonts w:hint="eastAsia" w:ascii="仿宋_GB2312" w:hAnsi="仿宋_GB2312" w:cs="仿宋_GB2312"/>
              <w:bCs/>
              <w:color w:val="000000" w:themeColor="text1"/>
              <w:szCs w:val="28"/>
              <w:highlight w:val="none"/>
              <w14:textFill>
                <w14:solidFill>
                  <w14:schemeClr w14:val="tx1"/>
                </w14:solidFill>
              </w14:textFill>
            </w:rPr>
            <w:t>总则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_Toc17868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58DFD57C">
          <w:pPr>
            <w:pStyle w:val="15"/>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_Toc3909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 w:hAnsi="仿宋" w:eastAsia="仿宋" w:cs="仿宋"/>
              <w:color w:val="000000" w:themeColor="text1"/>
              <w:szCs w:val="24"/>
              <w:highlight w:val="none"/>
              <w14:textFill>
                <w14:solidFill>
                  <w14:schemeClr w14:val="tx1"/>
                </w14:solidFill>
              </w14:textFill>
            </w:rPr>
            <w:t xml:space="preserve">1.1. </w:t>
          </w:r>
          <w:r>
            <w:rPr>
              <w:rFonts w:hint="eastAsia" w:ascii="仿宋_GB2312" w:hAnsi="仿宋_GB2312" w:cs="仿宋_GB2312"/>
              <w:color w:val="000000" w:themeColor="text1"/>
              <w:szCs w:val="28"/>
              <w:highlight w:val="none"/>
              <w14:textFill>
                <w14:solidFill>
                  <w14:schemeClr w14:val="tx1"/>
                </w14:solidFill>
              </w14:textFill>
            </w:rPr>
            <w:t>概述</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_Toc3909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4364C9FD">
          <w:pPr>
            <w:pStyle w:val="14"/>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_Toc10993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_GB2312" w:hAnsi="仿宋_GB2312" w:cs="仿宋_GB2312"/>
              <w:bCs/>
              <w:color w:val="000000" w:themeColor="text1"/>
              <w:szCs w:val="28"/>
              <w:highlight w:val="none"/>
              <w14:textFill>
                <w14:solidFill>
                  <w14:schemeClr w14:val="tx1"/>
                </w14:solidFill>
              </w14:textFill>
            </w:rPr>
            <w:t xml:space="preserve">2. </w:t>
          </w:r>
          <w:r>
            <w:rPr>
              <w:rFonts w:hint="eastAsia" w:ascii="仿宋_GB2312" w:hAnsi="仿宋_GB2312" w:cs="仿宋_GB2312"/>
              <w:bCs/>
              <w:color w:val="000000" w:themeColor="text1"/>
              <w:szCs w:val="28"/>
              <w:highlight w:val="none"/>
              <w14:textFill>
                <w14:solidFill>
                  <w14:schemeClr w14:val="tx1"/>
                </w14:solidFill>
              </w14:textFill>
            </w:rPr>
            <w:t>项目背景</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_Toc10993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5B433940">
          <w:pPr>
            <w:pStyle w:val="14"/>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_Toc11030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_GB2312" w:hAnsi="仿宋_GB2312" w:cs="仿宋_GB2312"/>
              <w:bCs/>
              <w:color w:val="000000" w:themeColor="text1"/>
              <w:szCs w:val="28"/>
              <w:highlight w:val="none"/>
              <w14:textFill>
                <w14:solidFill>
                  <w14:schemeClr w14:val="tx1"/>
                </w14:solidFill>
              </w14:textFill>
            </w:rPr>
            <w:t xml:space="preserve">3. </w:t>
          </w:r>
          <w:r>
            <w:rPr>
              <w:rFonts w:hint="eastAsia" w:ascii="仿宋_GB2312" w:hAnsi="仿宋_GB2312" w:cs="仿宋_GB2312"/>
              <w:bCs/>
              <w:color w:val="000000" w:themeColor="text1"/>
              <w:szCs w:val="28"/>
              <w:highlight w:val="none"/>
              <w:lang w:val="en-US" w:eastAsia="zh-CN"/>
              <w14:textFill>
                <w14:solidFill>
                  <w14:schemeClr w14:val="tx1"/>
                </w14:solidFill>
              </w14:textFill>
            </w:rPr>
            <w:t>投标</w:t>
          </w:r>
          <w:r>
            <w:rPr>
              <w:rFonts w:hint="eastAsia" w:ascii="仿宋_GB2312" w:hAnsi="仿宋_GB2312" w:cs="仿宋_GB2312"/>
              <w:bCs/>
              <w:color w:val="000000" w:themeColor="text1"/>
              <w:szCs w:val="28"/>
              <w:highlight w:val="none"/>
              <w14:textFill>
                <w14:solidFill>
                  <w14:schemeClr w14:val="tx1"/>
                </w14:solidFill>
              </w14:textFill>
            </w:rPr>
            <w:t>方工作内容</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_Toc11030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4AFC41A6">
          <w:pPr>
            <w:pStyle w:val="14"/>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_Toc16095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_GB2312" w:hAnsi="仿宋_GB2312" w:cs="仿宋_GB2312"/>
              <w:bCs/>
              <w:color w:val="000000" w:themeColor="text1"/>
              <w:szCs w:val="28"/>
              <w:highlight w:val="none"/>
              <w14:textFill>
                <w14:solidFill>
                  <w14:schemeClr w14:val="tx1"/>
                </w14:solidFill>
              </w14:textFill>
            </w:rPr>
            <w:t xml:space="preserve">4. </w:t>
          </w:r>
          <w:r>
            <w:rPr>
              <w:rFonts w:hint="eastAsia" w:ascii="仿宋_GB2312" w:hAnsi="仿宋_GB2312" w:cs="仿宋_GB2312"/>
              <w:bCs/>
              <w:color w:val="000000" w:themeColor="text1"/>
              <w:szCs w:val="28"/>
              <w:highlight w:val="none"/>
              <w14:textFill>
                <w14:solidFill>
                  <w14:schemeClr w14:val="tx1"/>
                </w14:solidFill>
              </w14:textFill>
            </w:rPr>
            <w:t>代工产品及配件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_Toc16095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3D32C106">
          <w:pPr>
            <w:pStyle w:val="14"/>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_Toc24009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_GB2312" w:hAnsi="仿宋_GB2312" w:cs="仿宋_GB2312"/>
              <w:bCs/>
              <w:color w:val="000000" w:themeColor="text1"/>
              <w:szCs w:val="28"/>
              <w:highlight w:val="none"/>
              <w14:textFill>
                <w14:solidFill>
                  <w14:schemeClr w14:val="tx1"/>
                </w14:solidFill>
              </w14:textFill>
            </w:rPr>
            <w:t xml:space="preserve">5. </w:t>
          </w:r>
          <w:r>
            <w:rPr>
              <w:rFonts w:hint="eastAsia" w:ascii="仿宋_GB2312" w:hAnsi="仿宋_GB2312" w:cs="仿宋_GB2312"/>
              <w:bCs/>
              <w:color w:val="000000" w:themeColor="text1"/>
              <w:szCs w:val="28"/>
              <w:highlight w:val="none"/>
              <w14:textFill>
                <w14:solidFill>
                  <w14:schemeClr w14:val="tx1"/>
                </w14:solidFill>
              </w14:textFill>
            </w:rPr>
            <w:t>技术要求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_Toc24009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0F603FF6">
          <w:pPr>
            <w:pStyle w:val="15"/>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_Toc28011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 w:hAnsi="仿宋" w:eastAsia="仿宋" w:cs="仿宋"/>
              <w:bCs w:val="0"/>
              <w:color w:val="000000" w:themeColor="text1"/>
              <w:szCs w:val="24"/>
              <w:highlight w:val="none"/>
              <w14:textFill>
                <w14:solidFill>
                  <w14:schemeClr w14:val="tx1"/>
                </w14:solidFill>
              </w14:textFill>
            </w:rPr>
            <w:t xml:space="preserve">5.1. </w:t>
          </w:r>
          <w:r>
            <w:rPr>
              <w:rFonts w:hint="eastAsia" w:ascii="仿宋_GB2312" w:hAnsi="仿宋_GB2312" w:cs="仿宋_GB2312"/>
              <w:bCs w:val="0"/>
              <w:color w:val="000000" w:themeColor="text1"/>
              <w:szCs w:val="28"/>
              <w:highlight w:val="none"/>
              <w14:textFill>
                <w14:solidFill>
                  <w14:schemeClr w14:val="tx1"/>
                </w14:solidFill>
              </w14:textFill>
            </w:rPr>
            <w:t>功效要求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_Toc28011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339CAB34">
          <w:pPr>
            <w:pStyle w:val="10"/>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_Toc18388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 w:hAnsi="仿宋" w:eastAsia="仿宋" w:cs="仿宋"/>
              <w:bCs/>
              <w:snapToGrid w:val="0"/>
              <w:color w:val="000000" w:themeColor="text1"/>
              <w:kern w:val="0"/>
              <w:szCs w:val="24"/>
              <w:highlight w:val="none"/>
              <w14:textFill>
                <w14:solidFill>
                  <w14:schemeClr w14:val="tx1"/>
                </w14:solidFill>
              </w14:textFill>
            </w:rPr>
            <w:t xml:space="preserve">5.1.1. </w:t>
          </w:r>
          <w:r>
            <w:rPr>
              <w:rFonts w:hint="eastAsia" w:ascii="仿宋_GB2312" w:hAnsi="仿宋_GB2312" w:eastAsia="仿宋_GB2312" w:cs="仿宋_GB2312"/>
              <w:snapToGrid w:val="0"/>
              <w:color w:val="000000" w:themeColor="text1"/>
              <w:kern w:val="0"/>
              <w:szCs w:val="28"/>
              <w:highlight w:val="none"/>
              <w14:textFill>
                <w14:solidFill>
                  <w14:schemeClr w14:val="tx1"/>
                </w14:solidFill>
              </w14:textFill>
            </w:rPr>
            <w:t>智算版5G专网一体机</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_Toc18388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422F9CE6">
          <w:pPr>
            <w:pStyle w:val="15"/>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_Toc29023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 w:hAnsi="仿宋" w:eastAsia="仿宋" w:cs="仿宋"/>
              <w:bCs w:val="0"/>
              <w:color w:val="000000" w:themeColor="text1"/>
              <w:szCs w:val="24"/>
              <w:highlight w:val="none"/>
              <w14:textFill>
                <w14:solidFill>
                  <w14:schemeClr w14:val="tx1"/>
                </w14:solidFill>
              </w14:textFill>
            </w:rPr>
            <w:t xml:space="preserve">5.2. </w:t>
          </w:r>
          <w:r>
            <w:rPr>
              <w:rFonts w:hint="eastAsia" w:ascii="仿宋_GB2312" w:hAnsi="仿宋_GB2312" w:cs="仿宋_GB2312"/>
              <w:bCs w:val="0"/>
              <w:color w:val="000000" w:themeColor="text1"/>
              <w:szCs w:val="28"/>
              <w:highlight w:val="none"/>
              <w14:textFill>
                <w14:solidFill>
                  <w14:schemeClr w14:val="tx1"/>
                </w14:solidFill>
              </w14:textFill>
            </w:rPr>
            <w:t>项目技术要求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_Toc29023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10B3EAFE">
          <w:pPr>
            <w:pStyle w:val="10"/>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_Toc3160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 w:hAnsi="仿宋" w:eastAsia="仿宋" w:cs="仿宋"/>
              <w:bCs/>
              <w:snapToGrid w:val="0"/>
              <w:color w:val="000000" w:themeColor="text1"/>
              <w:kern w:val="0"/>
              <w:szCs w:val="24"/>
              <w:highlight w:val="none"/>
              <w14:textFill>
                <w14:solidFill>
                  <w14:schemeClr w14:val="tx1"/>
                </w14:solidFill>
              </w14:textFill>
            </w:rPr>
            <w:t xml:space="preserve">5.2.1. </w:t>
          </w:r>
          <w:r>
            <w:rPr>
              <w:rFonts w:hint="eastAsia" w:ascii="仿宋_GB2312" w:hAnsi="仿宋_GB2312" w:eastAsia="仿宋_GB2312" w:cs="仿宋_GB2312"/>
              <w:snapToGrid w:val="0"/>
              <w:color w:val="000000" w:themeColor="text1"/>
              <w:kern w:val="0"/>
              <w:szCs w:val="28"/>
              <w:highlight w:val="none"/>
              <w14:textFill>
                <w14:solidFill>
                  <w14:schemeClr w14:val="tx1"/>
                </w14:solidFill>
              </w14:textFill>
            </w:rPr>
            <w:t>智算版5G专网一体机</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_Toc3160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50C739C9">
          <w:pPr>
            <w:pStyle w:val="14"/>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_Toc28370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_GB2312" w:hAnsi="仿宋_GB2312" w:cs="仿宋_GB2312"/>
              <w:bCs/>
              <w:color w:val="000000" w:themeColor="text1"/>
              <w:szCs w:val="28"/>
              <w:highlight w:val="none"/>
              <w14:textFill>
                <w14:solidFill>
                  <w14:schemeClr w14:val="tx1"/>
                </w14:solidFill>
              </w14:textFill>
            </w:rPr>
            <w:t xml:space="preserve">6. </w:t>
          </w:r>
          <w:r>
            <w:rPr>
              <w:rFonts w:hint="eastAsia" w:ascii="仿宋_GB2312" w:hAnsi="仿宋_GB2312" w:cs="仿宋_GB2312"/>
              <w:bCs/>
              <w:color w:val="000000" w:themeColor="text1"/>
              <w:szCs w:val="28"/>
              <w:highlight w:val="none"/>
              <w14:textFill>
                <w14:solidFill>
                  <w14:schemeClr w14:val="tx1"/>
                </w14:solidFill>
              </w14:textFill>
            </w:rPr>
            <w:t>供货要求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_Toc28370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12852A9C">
          <w:pPr>
            <w:pStyle w:val="15"/>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_Toc32418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 w:hAnsi="仿宋" w:eastAsia="仿宋" w:cs="仿宋"/>
              <w:color w:val="000000" w:themeColor="text1"/>
              <w:szCs w:val="24"/>
              <w:highlight w:val="none"/>
              <w14:textFill>
                <w14:solidFill>
                  <w14:schemeClr w14:val="tx1"/>
                </w14:solidFill>
              </w14:textFill>
            </w:rPr>
            <w:t xml:space="preserve">6.1. </w:t>
          </w:r>
          <w:r>
            <w:rPr>
              <w:rFonts w:hint="eastAsia" w:ascii="仿宋_GB2312" w:hAnsi="仿宋_GB2312" w:cs="仿宋_GB2312"/>
              <w:color w:val="000000" w:themeColor="text1"/>
              <w:szCs w:val="28"/>
              <w:highlight w:val="none"/>
              <w14:textFill>
                <w14:solidFill>
                  <w14:schemeClr w14:val="tx1"/>
                </w14:solidFill>
              </w14:textFill>
            </w:rPr>
            <w:t>产品供应</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_Toc32418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30788841">
          <w:pPr>
            <w:pStyle w:val="15"/>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_Toc29990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 w:hAnsi="仿宋" w:eastAsia="仿宋" w:cs="仿宋"/>
              <w:color w:val="000000" w:themeColor="text1"/>
              <w:szCs w:val="24"/>
              <w:highlight w:val="none"/>
              <w14:textFill>
                <w14:solidFill>
                  <w14:schemeClr w14:val="tx1"/>
                </w14:solidFill>
              </w14:textFill>
            </w:rPr>
            <w:t xml:space="preserve">6.2. </w:t>
          </w:r>
          <w:r>
            <w:rPr>
              <w:rFonts w:hint="eastAsia" w:ascii="仿宋_GB2312" w:hAnsi="仿宋_GB2312" w:cs="仿宋_GB2312"/>
              <w:color w:val="000000" w:themeColor="text1"/>
              <w:szCs w:val="28"/>
              <w:highlight w:val="none"/>
              <w14:textFill>
                <w14:solidFill>
                  <w14:schemeClr w14:val="tx1"/>
                </w14:solidFill>
              </w14:textFill>
            </w:rPr>
            <w:t>供货周期</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_Toc29990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5837811F">
          <w:pPr>
            <w:pStyle w:val="15"/>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_Toc31923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 w:hAnsi="仿宋" w:eastAsia="仿宋" w:cs="仿宋"/>
              <w:color w:val="000000" w:themeColor="text1"/>
              <w:szCs w:val="24"/>
              <w:highlight w:val="none"/>
              <w14:textFill>
                <w14:solidFill>
                  <w14:schemeClr w14:val="tx1"/>
                </w14:solidFill>
              </w14:textFill>
            </w:rPr>
            <w:t xml:space="preserve">6.3. </w:t>
          </w:r>
          <w:r>
            <w:rPr>
              <w:rFonts w:hint="eastAsia" w:ascii="仿宋_GB2312" w:hAnsi="仿宋_GB2312" w:cs="仿宋_GB2312"/>
              <w:color w:val="000000" w:themeColor="text1"/>
              <w:szCs w:val="28"/>
              <w:highlight w:val="none"/>
              <w14:textFill>
                <w14:solidFill>
                  <w14:schemeClr w14:val="tx1"/>
                </w14:solidFill>
              </w14:textFill>
            </w:rPr>
            <w:t>产品标签标识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_Toc31923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4E826EAA">
          <w:pPr>
            <w:pStyle w:val="15"/>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_Toc19955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 w:hAnsi="仿宋" w:eastAsia="仿宋" w:cs="仿宋"/>
              <w:color w:val="000000" w:themeColor="text1"/>
              <w:szCs w:val="24"/>
              <w:highlight w:val="none"/>
              <w14:textFill>
                <w14:solidFill>
                  <w14:schemeClr w14:val="tx1"/>
                </w14:solidFill>
              </w14:textFill>
            </w:rPr>
            <w:t xml:space="preserve">6.4. </w:t>
          </w:r>
          <w:r>
            <w:rPr>
              <w:rFonts w:hint="eastAsia" w:ascii="仿宋_GB2312" w:hAnsi="仿宋_GB2312" w:cs="仿宋_GB2312"/>
              <w:color w:val="000000" w:themeColor="text1"/>
              <w:szCs w:val="28"/>
              <w:highlight w:val="none"/>
              <w14:textFill>
                <w14:solidFill>
                  <w14:schemeClr w14:val="tx1"/>
                </w14:solidFill>
              </w14:textFill>
            </w:rPr>
            <w:t>到货验收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_Toc19955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8</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07F648CE">
          <w:pPr>
            <w:pStyle w:val="14"/>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_Toc26351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_GB2312" w:hAnsi="仿宋_GB2312" w:cs="仿宋_GB2312"/>
              <w:color w:val="000000" w:themeColor="text1"/>
              <w:szCs w:val="28"/>
              <w:highlight w:val="none"/>
              <w14:textFill>
                <w14:solidFill>
                  <w14:schemeClr w14:val="tx1"/>
                </w14:solidFill>
              </w14:textFill>
            </w:rPr>
            <w:t xml:space="preserve">7. </w:t>
          </w:r>
          <w:r>
            <w:rPr>
              <w:rFonts w:hint="eastAsia" w:ascii="仿宋_GB2312" w:hAnsi="仿宋_GB2312" w:cs="仿宋_GB2312"/>
              <w:color w:val="000000" w:themeColor="text1"/>
              <w:szCs w:val="28"/>
              <w:highlight w:val="none"/>
              <w14:textFill>
                <w14:solidFill>
                  <w14:schemeClr w14:val="tx1"/>
                </w14:solidFill>
              </w14:textFill>
            </w:rPr>
            <w:t>设备运输要求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_Toc26351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8</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6D241612">
          <w:pPr>
            <w:pStyle w:val="14"/>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_Toc26740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_GB2312" w:hAnsi="仿宋_GB2312" w:cs="仿宋_GB2312"/>
              <w:color w:val="000000" w:themeColor="text1"/>
              <w:szCs w:val="28"/>
              <w:highlight w:val="none"/>
              <w14:textFill>
                <w14:solidFill>
                  <w14:schemeClr w14:val="tx1"/>
                </w14:solidFill>
              </w14:textFill>
            </w:rPr>
            <w:t xml:space="preserve">8. </w:t>
          </w:r>
          <w:r>
            <w:rPr>
              <w:rFonts w:hint="eastAsia" w:ascii="仿宋_GB2312" w:hAnsi="仿宋_GB2312" w:cs="仿宋_GB2312"/>
              <w:color w:val="000000" w:themeColor="text1"/>
              <w:szCs w:val="28"/>
              <w:highlight w:val="none"/>
              <w14:textFill>
                <w14:solidFill>
                  <w14:schemeClr w14:val="tx1"/>
                </w14:solidFill>
              </w14:textFill>
            </w:rPr>
            <w:t>设备到货及开箱签收要求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_Toc26740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8</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48400590">
          <w:pPr>
            <w:pStyle w:val="14"/>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_Toc26216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_GB2312" w:hAnsi="仿宋_GB2312" w:cs="仿宋_GB2312"/>
              <w:color w:val="000000" w:themeColor="text1"/>
              <w:szCs w:val="28"/>
              <w:highlight w:val="none"/>
              <w14:textFill>
                <w14:solidFill>
                  <w14:schemeClr w14:val="tx1"/>
                </w14:solidFill>
              </w14:textFill>
            </w:rPr>
            <w:t xml:space="preserve">9. </w:t>
          </w:r>
          <w:r>
            <w:rPr>
              <w:rFonts w:hint="eastAsia" w:ascii="仿宋_GB2312" w:hAnsi="仿宋_GB2312" w:cs="仿宋_GB2312"/>
              <w:color w:val="000000" w:themeColor="text1"/>
              <w:szCs w:val="28"/>
              <w:highlight w:val="none"/>
              <w14:textFill>
                <w14:solidFill>
                  <w14:schemeClr w14:val="tx1"/>
                </w14:solidFill>
              </w14:textFill>
            </w:rPr>
            <w:t>设备调试服务要求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_Toc26216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9</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143C7044">
          <w:pPr>
            <w:pStyle w:val="14"/>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_Toc27951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_GB2312" w:hAnsi="仿宋_GB2312" w:cs="仿宋_GB2312"/>
              <w:color w:val="000000" w:themeColor="text1"/>
              <w:szCs w:val="28"/>
              <w:highlight w:val="none"/>
              <w14:textFill>
                <w14:solidFill>
                  <w14:schemeClr w14:val="tx1"/>
                </w14:solidFill>
              </w14:textFill>
            </w:rPr>
            <w:t xml:space="preserve">10. </w:t>
          </w:r>
          <w:r>
            <w:rPr>
              <w:rFonts w:hint="eastAsia" w:ascii="仿宋_GB2312" w:hAnsi="仿宋_GB2312" w:cs="仿宋_GB2312"/>
              <w:color w:val="000000" w:themeColor="text1"/>
              <w:szCs w:val="28"/>
              <w:highlight w:val="none"/>
              <w14:textFill>
                <w14:solidFill>
                  <w14:schemeClr w14:val="tx1"/>
                </w14:solidFill>
              </w14:textFill>
            </w:rPr>
            <w:t>售后与技术服务要求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_Toc27951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9</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62606187">
          <w:pPr>
            <w:pStyle w:val="15"/>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_Toc32354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 w:hAnsi="仿宋" w:eastAsia="仿宋" w:cs="仿宋"/>
              <w:color w:val="000000" w:themeColor="text1"/>
              <w:szCs w:val="24"/>
              <w:highlight w:val="none"/>
              <w14:textFill>
                <w14:solidFill>
                  <w14:schemeClr w14:val="tx1"/>
                </w14:solidFill>
              </w14:textFill>
            </w:rPr>
            <w:t xml:space="preserve">10.1. </w:t>
          </w:r>
          <w:r>
            <w:rPr>
              <w:rFonts w:hint="eastAsia" w:ascii="仿宋_GB2312" w:hAnsi="仿宋_GB2312" w:cs="仿宋_GB2312"/>
              <w:color w:val="000000" w:themeColor="text1"/>
              <w:szCs w:val="28"/>
              <w:highlight w:val="none"/>
              <w14:textFill>
                <w14:solidFill>
                  <w14:schemeClr w14:val="tx1"/>
                </w14:solidFill>
              </w14:textFill>
            </w:rPr>
            <w:t>售后与技术服务描述</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_Toc32354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9</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53B965B9">
          <w:pPr>
            <w:pStyle w:val="15"/>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_Toc9188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 w:hAnsi="仿宋" w:eastAsia="仿宋" w:cs="仿宋"/>
              <w:bCs w:val="0"/>
              <w:color w:val="000000" w:themeColor="text1"/>
              <w:szCs w:val="24"/>
              <w:highlight w:val="none"/>
              <w14:textFill>
                <w14:solidFill>
                  <w14:schemeClr w14:val="tx1"/>
                </w14:solidFill>
              </w14:textFill>
            </w:rPr>
            <w:t xml:space="preserve">10.2. </w:t>
          </w:r>
          <w:r>
            <w:rPr>
              <w:rFonts w:hint="eastAsia" w:ascii="仿宋_GB2312" w:hAnsi="仿宋_GB2312" w:cs="仿宋_GB2312"/>
              <w:bCs w:val="0"/>
              <w:color w:val="000000" w:themeColor="text1"/>
              <w:szCs w:val="28"/>
              <w:highlight w:val="none"/>
              <w14:textFill>
                <w14:solidFill>
                  <w14:schemeClr w14:val="tx1"/>
                </w14:solidFill>
              </w14:textFill>
            </w:rPr>
            <w:t>电话技术支持服务</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_Toc9188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434BFC58">
          <w:pPr>
            <w:pStyle w:val="15"/>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_Toc2810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 w:hAnsi="仿宋" w:eastAsia="仿宋" w:cs="仿宋"/>
              <w:color w:val="000000" w:themeColor="text1"/>
              <w:szCs w:val="24"/>
              <w:highlight w:val="none"/>
              <w14:textFill>
                <w14:solidFill>
                  <w14:schemeClr w14:val="tx1"/>
                </w14:solidFill>
              </w14:textFill>
            </w:rPr>
            <w:t xml:space="preserve">10.3. </w:t>
          </w:r>
          <w:r>
            <w:rPr>
              <w:rFonts w:hint="eastAsia" w:ascii="仿宋_GB2312" w:hAnsi="仿宋_GB2312" w:cs="仿宋_GB2312"/>
              <w:color w:val="000000" w:themeColor="text1"/>
              <w:szCs w:val="28"/>
              <w:highlight w:val="none"/>
              <w14:textFill>
                <w14:solidFill>
                  <w14:schemeClr w14:val="tx1"/>
                </w14:solidFill>
              </w14:textFill>
            </w:rPr>
            <w:t>设备故障修复服务（含远程技术支持、现场技术支持）</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_Toc2810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2DE93084">
          <w:pPr>
            <w:pStyle w:val="15"/>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_Toc26134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 w:hAnsi="仿宋" w:eastAsia="仿宋" w:cs="仿宋"/>
              <w:color w:val="000000" w:themeColor="text1"/>
              <w:szCs w:val="24"/>
              <w:highlight w:val="none"/>
              <w14:textFill>
                <w14:solidFill>
                  <w14:schemeClr w14:val="tx1"/>
                </w14:solidFill>
              </w14:textFill>
            </w:rPr>
            <w:t xml:space="preserve">10.4. </w:t>
          </w:r>
          <w:r>
            <w:rPr>
              <w:rFonts w:hint="eastAsia" w:ascii="仿宋_GB2312" w:hAnsi="仿宋_GB2312" w:cs="仿宋_GB2312"/>
              <w:color w:val="000000" w:themeColor="text1"/>
              <w:szCs w:val="28"/>
              <w:highlight w:val="none"/>
              <w14:textFill>
                <w14:solidFill>
                  <w14:schemeClr w14:val="tx1"/>
                </w14:solidFill>
              </w14:textFill>
            </w:rPr>
            <w:t>紧急事件的处理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_Toc26134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11</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2225246D">
          <w:pPr>
            <w:pStyle w:val="15"/>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_Toc7710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 w:hAnsi="仿宋" w:eastAsia="仿宋" w:cs="仿宋"/>
              <w:color w:val="000000" w:themeColor="text1"/>
              <w:szCs w:val="24"/>
              <w:highlight w:val="none"/>
              <w14:textFill>
                <w14:solidFill>
                  <w14:schemeClr w14:val="tx1"/>
                </w14:solidFill>
              </w14:textFill>
            </w:rPr>
            <w:t xml:space="preserve">10.5. </w:t>
          </w:r>
          <w:r>
            <w:rPr>
              <w:rFonts w:hint="eastAsia" w:ascii="仿宋_GB2312" w:hAnsi="仿宋_GB2312" w:cs="仿宋_GB2312"/>
              <w:color w:val="000000" w:themeColor="text1"/>
              <w:szCs w:val="28"/>
              <w:highlight w:val="none"/>
              <w14:textFill>
                <w14:solidFill>
                  <w14:schemeClr w14:val="tx1"/>
                </w14:solidFill>
              </w14:textFill>
            </w:rPr>
            <w:t>技术文件与培训服务</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_Toc7710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11</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709AA832">
          <w:pPr>
            <w:pStyle w:val="15"/>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_Toc27295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 w:hAnsi="仿宋" w:eastAsia="仿宋" w:cs="仿宋"/>
              <w:color w:val="000000" w:themeColor="text1"/>
              <w:szCs w:val="24"/>
              <w:highlight w:val="none"/>
              <w14:textFill>
                <w14:solidFill>
                  <w14:schemeClr w14:val="tx1"/>
                </w14:solidFill>
              </w14:textFill>
            </w:rPr>
            <w:t xml:space="preserve">10.6. </w:t>
          </w:r>
          <w:r>
            <w:rPr>
              <w:rFonts w:hint="eastAsia" w:ascii="仿宋_GB2312" w:hAnsi="仿宋_GB2312" w:cs="仿宋_GB2312"/>
              <w:color w:val="000000" w:themeColor="text1"/>
              <w:szCs w:val="28"/>
              <w:highlight w:val="none"/>
              <w14:textFill>
                <w14:solidFill>
                  <w14:schemeClr w14:val="tx1"/>
                </w14:solidFill>
              </w14:textFill>
            </w:rPr>
            <w:t>保修与维修服务</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_Toc27295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11</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12847846">
          <w:pPr>
            <w:pStyle w:val="14"/>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_Toc30012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_GB2312" w:hAnsi="仿宋_GB2312" w:cs="仿宋_GB2312"/>
              <w:color w:val="000000" w:themeColor="text1"/>
              <w:szCs w:val="28"/>
              <w:highlight w:val="none"/>
              <w14:textFill>
                <w14:solidFill>
                  <w14:schemeClr w14:val="tx1"/>
                </w14:solidFill>
              </w14:textFill>
            </w:rPr>
            <w:t xml:space="preserve">11. </w:t>
          </w:r>
          <w:r>
            <w:rPr>
              <w:rFonts w:hint="eastAsia" w:ascii="仿宋_GB2312" w:hAnsi="仿宋_GB2312" w:cs="仿宋_GB2312"/>
              <w:color w:val="000000" w:themeColor="text1"/>
              <w:szCs w:val="28"/>
              <w:highlight w:val="none"/>
              <w14:textFill>
                <w14:solidFill>
                  <w14:schemeClr w14:val="tx1"/>
                </w14:solidFill>
              </w14:textFill>
            </w:rPr>
            <w:t>其他要求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_Toc30012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12</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7E4EB7EA">
          <w:pPr>
            <w:pStyle w:val="14"/>
            <w:tabs>
              <w:tab w:val="right" w:leader="dot" w:pos="8306"/>
            </w:tabs>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begin"/>
          </w:r>
          <w:r>
            <w:rPr>
              <w:rFonts w:hint="eastAsia" w:ascii="仿宋_GB2312" w:hAnsi="仿宋_GB2312" w:eastAsia="仿宋_GB2312" w:cs="仿宋_GB2312"/>
              <w:color w:val="000000" w:themeColor="text1"/>
              <w:szCs w:val="28"/>
              <w:highlight w:val="none"/>
              <w14:textFill>
                <w14:solidFill>
                  <w14:schemeClr w14:val="tx1"/>
                </w14:solidFill>
              </w14:textFill>
            </w:rPr>
            <w:instrText xml:space="preserve"> HYPERLINK \l _Toc23351 </w:instrText>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separate"/>
          </w:r>
          <w:r>
            <w:rPr>
              <w:rFonts w:hint="default" w:ascii="仿宋_GB2312" w:hAnsi="仿宋_GB2312" w:cs="仿宋_GB2312"/>
              <w:bCs/>
              <w:color w:val="000000" w:themeColor="text1"/>
              <w:szCs w:val="28"/>
              <w:highlight w:val="none"/>
              <w14:textFill>
                <w14:solidFill>
                  <w14:schemeClr w14:val="tx1"/>
                </w14:solidFill>
              </w14:textFill>
            </w:rPr>
            <w:t xml:space="preserve">12. </w:t>
          </w:r>
          <w:r>
            <w:rPr>
              <w:rFonts w:hint="eastAsia" w:ascii="仿宋_GB2312" w:hAnsi="仿宋_GB2312" w:cs="仿宋_GB2312"/>
              <w:bCs/>
              <w:color w:val="000000" w:themeColor="text1"/>
              <w:szCs w:val="28"/>
              <w:highlight w:val="none"/>
              <w14:textFill>
                <w14:solidFill>
                  <w14:schemeClr w14:val="tx1"/>
                </w14:solidFill>
              </w14:textFill>
            </w:rPr>
            <w:t>附录：各单元主要物料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_Toc23351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12</w:t>
          </w:r>
          <w:r>
            <w:rPr>
              <w:color w:val="000000" w:themeColor="text1"/>
              <w:highlight w:val="none"/>
              <w14:textFill>
                <w14:solidFill>
                  <w14:schemeClr w14:val="tx1"/>
                </w14:solidFill>
              </w14:textFill>
            </w:rPr>
            <w:fldChar w:fldCharType="end"/>
          </w: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p w14:paraId="213C6D63">
          <w:pPr>
            <w:pStyle w:val="9"/>
            <w:spacing w:line="276" w:lineRule="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Cs w:val="28"/>
              <w:highlight w:val="none"/>
              <w14:textFill>
                <w14:solidFill>
                  <w14:schemeClr w14:val="tx1"/>
                </w14:solidFill>
              </w14:textFill>
            </w:rPr>
            <w:fldChar w:fldCharType="end"/>
          </w:r>
        </w:p>
      </w:sdtContent>
    </w:sdt>
    <w:p w14:paraId="51FC4455">
      <w:pPr>
        <w:pStyle w:val="9"/>
        <w:spacing w:line="276" w:lineRule="auto"/>
        <w:rPr>
          <w:rFonts w:ascii="仿宋_GB2312" w:hAnsi="仿宋_GB2312" w:eastAsia="仿宋_GB2312" w:cs="仿宋_GB2312"/>
          <w:bCs/>
          <w:color w:val="000000" w:themeColor="text1"/>
          <w:sz w:val="28"/>
          <w:szCs w:val="28"/>
          <w:highlight w:val="none"/>
          <w14:textFill>
            <w14:solidFill>
              <w14:schemeClr w14:val="tx1"/>
            </w14:solidFill>
          </w14:textFill>
        </w:rPr>
      </w:pPr>
    </w:p>
    <w:p w14:paraId="13EC0219">
      <w:pPr>
        <w:pStyle w:val="9"/>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p>
    <w:p w14:paraId="36BE330A">
      <w:pPr>
        <w:pStyle w:val="9"/>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p>
    <w:p w14:paraId="64583E71">
      <w:pPr>
        <w:pStyle w:val="9"/>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p>
    <w:p w14:paraId="58A2964A">
      <w:pPr>
        <w:pStyle w:val="2"/>
        <w:spacing w:line="276" w:lineRule="auto"/>
        <w:rPr>
          <w:rFonts w:ascii="仿宋_GB2312" w:hAnsi="仿宋_GB2312" w:cs="仿宋_GB2312"/>
          <w:bCs/>
          <w:color w:val="000000" w:themeColor="text1"/>
          <w:szCs w:val="28"/>
          <w:highlight w:val="none"/>
          <w14:textFill>
            <w14:solidFill>
              <w14:schemeClr w14:val="tx1"/>
            </w14:solidFill>
          </w14:textFill>
        </w:rPr>
      </w:pPr>
      <w:bookmarkStart w:id="0" w:name="_Toc7160"/>
      <w:bookmarkStart w:id="1" w:name="_Toc167698303"/>
      <w:bookmarkStart w:id="2" w:name="_Toc9325"/>
      <w:bookmarkStart w:id="3" w:name="_Toc28292"/>
      <w:bookmarkStart w:id="4" w:name="_Toc17868"/>
      <w:r>
        <w:rPr>
          <w:rFonts w:hint="eastAsia" w:ascii="仿宋_GB2312" w:hAnsi="仿宋_GB2312" w:cs="仿宋_GB2312"/>
          <w:bCs/>
          <w:color w:val="000000" w:themeColor="text1"/>
          <w:szCs w:val="28"/>
          <w:highlight w:val="none"/>
          <w14:textFill>
            <w14:solidFill>
              <w14:schemeClr w14:val="tx1"/>
            </w14:solidFill>
          </w14:textFill>
        </w:rPr>
        <w:t>总则</w:t>
      </w:r>
      <w:bookmarkEnd w:id="0"/>
      <w:bookmarkEnd w:id="1"/>
      <w:bookmarkEnd w:id="2"/>
      <w:bookmarkEnd w:id="3"/>
      <w:bookmarkEnd w:id="4"/>
    </w:p>
    <w:p w14:paraId="524CC49F">
      <w:pPr>
        <w:pStyle w:val="3"/>
        <w:spacing w:before="156" w:after="156" w:line="276" w:lineRule="auto"/>
        <w:ind w:left="426"/>
        <w:rPr>
          <w:rFonts w:ascii="仿宋_GB2312" w:hAnsi="仿宋_GB2312" w:cs="仿宋_GB2312"/>
          <w:color w:val="000000" w:themeColor="text1"/>
          <w:sz w:val="28"/>
          <w:szCs w:val="28"/>
          <w:highlight w:val="none"/>
          <w14:textFill>
            <w14:solidFill>
              <w14:schemeClr w14:val="tx1"/>
            </w14:solidFill>
          </w14:textFill>
        </w:rPr>
      </w:pPr>
      <w:bookmarkStart w:id="5" w:name="_Toc25428"/>
      <w:bookmarkStart w:id="6" w:name="_Toc15272"/>
      <w:bookmarkStart w:id="7" w:name="_Toc22608"/>
      <w:bookmarkStart w:id="8" w:name="_Toc3909"/>
      <w:bookmarkStart w:id="9" w:name="_Toc167698304"/>
      <w:r>
        <w:rPr>
          <w:rFonts w:hint="eastAsia" w:ascii="仿宋_GB2312" w:hAnsi="仿宋_GB2312" w:cs="仿宋_GB2312"/>
          <w:color w:val="000000" w:themeColor="text1"/>
          <w:sz w:val="28"/>
          <w:szCs w:val="28"/>
          <w:highlight w:val="none"/>
          <w14:textFill>
            <w14:solidFill>
              <w14:schemeClr w14:val="tx1"/>
            </w14:solidFill>
          </w14:textFill>
        </w:rPr>
        <w:t>概述</w:t>
      </w:r>
      <w:bookmarkEnd w:id="5"/>
      <w:bookmarkEnd w:id="6"/>
      <w:bookmarkEnd w:id="7"/>
      <w:bookmarkEnd w:id="8"/>
      <w:bookmarkEnd w:id="9"/>
    </w:p>
    <w:p w14:paraId="13A42553">
      <w:pPr>
        <w:pStyle w:val="9"/>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1.1.1 本文件为中移湾区（广东）创新研究院有限公司（以下简称采购人）采购</w:t>
      </w:r>
      <w:r>
        <w:rPr>
          <w:rFonts w:hint="eastAsia" w:ascii="仿宋_GB2312" w:hAnsi="仿宋_GB2312" w:eastAsia="仿宋_GB2312" w:cs="仿宋_GB2312"/>
          <w:color w:val="000000" w:themeColor="text1"/>
          <w:sz w:val="28"/>
          <w:szCs w:val="28"/>
          <w:highlight w:val="none"/>
          <w14:textFill>
            <w14:solidFill>
              <w14:schemeClr w14:val="tx1"/>
            </w14:solidFill>
          </w14:textFill>
        </w:rPr>
        <w:t>智算版5G专网一体机代工</w:t>
      </w:r>
      <w:r>
        <w:rPr>
          <w:rFonts w:hint="eastAsia" w:ascii="仿宋_GB2312" w:hAnsi="仿宋_GB2312" w:eastAsia="仿宋_GB2312" w:cs="仿宋_GB2312"/>
          <w:color w:val="000000" w:themeColor="text1"/>
          <w:sz w:val="28"/>
          <w:szCs w:val="28"/>
          <w:highlight w:val="none"/>
          <w14:textFill>
            <w14:solidFill>
              <w14:schemeClr w14:val="tx1"/>
            </w14:solidFill>
          </w14:textFill>
        </w:rPr>
        <w:t>技术规范书，供应厂商/公司（以下简称</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投标</w:t>
      </w:r>
      <w:r>
        <w:rPr>
          <w:rFonts w:hint="eastAsia" w:ascii="仿宋_GB2312" w:hAnsi="仿宋_GB2312" w:eastAsia="仿宋_GB2312" w:cs="仿宋_GB2312"/>
          <w:color w:val="000000" w:themeColor="text1"/>
          <w:sz w:val="28"/>
          <w:szCs w:val="28"/>
          <w:highlight w:val="none"/>
          <w14:textFill>
            <w14:solidFill>
              <w14:schemeClr w14:val="tx1"/>
            </w14:solidFill>
          </w14:textFill>
        </w:rPr>
        <w:t>方</w:t>
      </w:r>
      <w:r>
        <w:rPr>
          <w:rFonts w:hint="eastAsia" w:ascii="仿宋_GB2312" w:hAnsi="仿宋_GB2312" w:eastAsia="仿宋_GB2312" w:cs="仿宋_GB2312"/>
          <w:color w:val="000000" w:themeColor="text1"/>
          <w:sz w:val="28"/>
          <w:szCs w:val="28"/>
          <w:highlight w:val="none"/>
          <w14:textFill>
            <w14:solidFill>
              <w14:schemeClr w14:val="tx1"/>
            </w14:solidFill>
          </w14:textFill>
        </w:rPr>
        <w:t>）编写</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文件之用。</w:t>
      </w:r>
    </w:p>
    <w:p w14:paraId="5E69E8E4">
      <w:pPr>
        <w:pStyle w:val="9"/>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1.1.2</w:t>
      </w:r>
      <w:r>
        <w:rPr>
          <w:rFonts w:hint="eastAsia" w:ascii="仿宋_GB2312" w:hAnsi="仿宋_GB2312" w:eastAsia="仿宋_GB2312" w:cs="仿宋_GB2312"/>
          <w:color w:val="000000" w:themeColor="text1"/>
          <w:sz w:val="28"/>
          <w:szCs w:val="28"/>
          <w:highlight w:val="none"/>
          <w14:textFill>
            <w14:solidFill>
              <w14:schemeClr w14:val="tx1"/>
            </w14:solidFill>
          </w14:textFill>
        </w:rPr>
        <w:t>本文件对于软件、硬件、培训、服务和环境等方面的要求，及其所涉及的费用均应包含在</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w:t>
      </w:r>
      <w:r>
        <w:rPr>
          <w:rFonts w:hint="eastAsia" w:ascii="仿宋_GB2312" w:hAnsi="仿宋_GB2312" w:eastAsia="仿宋_GB2312" w:cs="仿宋_GB2312"/>
          <w:color w:val="000000" w:themeColor="text1"/>
          <w:sz w:val="28"/>
          <w:szCs w:val="28"/>
          <w:highlight w:val="none"/>
          <w14:textFill>
            <w14:solidFill>
              <w14:schemeClr w14:val="tx1"/>
            </w14:solidFill>
          </w14:textFill>
        </w:rPr>
        <w:t>方的</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w:t>
      </w:r>
      <w:r>
        <w:rPr>
          <w:rFonts w:hint="eastAsia" w:ascii="仿宋_GB2312" w:hAnsi="仿宋_GB2312" w:eastAsia="仿宋_GB2312" w:cs="仿宋_GB2312"/>
          <w:color w:val="000000" w:themeColor="text1"/>
          <w:sz w:val="28"/>
          <w:szCs w:val="28"/>
          <w:highlight w:val="none"/>
          <w14:textFill>
            <w14:solidFill>
              <w14:schemeClr w14:val="tx1"/>
            </w14:solidFill>
          </w14:textFill>
        </w:rPr>
        <w:t>范围之内。如果</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w:t>
      </w:r>
      <w:r>
        <w:rPr>
          <w:rFonts w:hint="eastAsia" w:ascii="仿宋_GB2312" w:hAnsi="仿宋_GB2312" w:eastAsia="仿宋_GB2312" w:cs="仿宋_GB2312"/>
          <w:color w:val="000000" w:themeColor="text1"/>
          <w:sz w:val="28"/>
          <w:szCs w:val="28"/>
          <w:highlight w:val="none"/>
          <w14:textFill>
            <w14:solidFill>
              <w14:schemeClr w14:val="tx1"/>
            </w14:solidFill>
          </w14:textFill>
        </w:rPr>
        <w:t>方没有提供明确的报价，应被视为上述要求所需要的费用由</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w:t>
      </w:r>
      <w:r>
        <w:rPr>
          <w:rFonts w:hint="eastAsia" w:ascii="仿宋_GB2312" w:hAnsi="仿宋_GB2312" w:eastAsia="仿宋_GB2312" w:cs="仿宋_GB2312"/>
          <w:color w:val="000000" w:themeColor="text1"/>
          <w:sz w:val="28"/>
          <w:szCs w:val="28"/>
          <w:highlight w:val="none"/>
          <w14:textFill>
            <w14:solidFill>
              <w14:schemeClr w14:val="tx1"/>
            </w14:solidFill>
          </w14:textFill>
        </w:rPr>
        <w:t>方免费提供。</w:t>
      </w:r>
    </w:p>
    <w:p w14:paraId="18290ED1">
      <w:pPr>
        <w:pStyle w:val="2"/>
        <w:spacing w:line="276" w:lineRule="auto"/>
        <w:rPr>
          <w:rFonts w:ascii="仿宋_GB2312" w:hAnsi="仿宋_GB2312" w:cs="仿宋_GB2312"/>
          <w:bCs/>
          <w:color w:val="000000" w:themeColor="text1"/>
          <w:szCs w:val="28"/>
          <w:highlight w:val="none"/>
          <w14:textFill>
            <w14:solidFill>
              <w14:schemeClr w14:val="tx1"/>
            </w14:solidFill>
          </w14:textFill>
        </w:rPr>
      </w:pPr>
      <w:bookmarkStart w:id="10" w:name="_Toc11532"/>
      <w:bookmarkStart w:id="11" w:name="_Toc116313890"/>
      <w:bookmarkStart w:id="12" w:name="_Toc10993"/>
      <w:bookmarkStart w:id="13" w:name="_Toc24608"/>
      <w:bookmarkStart w:id="14" w:name="_Toc19570"/>
      <w:bookmarkStart w:id="15" w:name="_Toc1159"/>
      <w:r>
        <w:rPr>
          <w:rFonts w:hint="eastAsia" w:ascii="仿宋_GB2312" w:hAnsi="仿宋_GB2312" w:cs="仿宋_GB2312"/>
          <w:bCs/>
          <w:color w:val="000000" w:themeColor="text1"/>
          <w:szCs w:val="28"/>
          <w:highlight w:val="none"/>
          <w14:textFill>
            <w14:solidFill>
              <w14:schemeClr w14:val="tx1"/>
            </w14:solidFill>
          </w14:textFill>
        </w:rPr>
        <w:t>项目背景</w:t>
      </w:r>
      <w:bookmarkEnd w:id="10"/>
      <w:bookmarkEnd w:id="11"/>
      <w:bookmarkEnd w:id="12"/>
      <w:bookmarkEnd w:id="13"/>
      <w:bookmarkEnd w:id="14"/>
      <w:bookmarkEnd w:id="15"/>
    </w:p>
    <w:p w14:paraId="1A23677D">
      <w:pPr>
        <w:pStyle w:val="9"/>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随着行业数字转型的驱动，5G 行业应用空间巨大。2020 年3月24 日，工信部发布《关于推动 5G 加快发展的通知》，明确推动 5G 专网商用，与此同时，伴随着“5G+工业互联网”的高速发展，行业对 5G 专网的需求也越来越大。</w:t>
      </w:r>
    </w:p>
    <w:p w14:paraId="5C34EC6F">
      <w:pPr>
        <w:pStyle w:val="9"/>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为快速帮助中小企业体验 5G 行业专网性能，感受 5G 专网价值，中移湾区研究院拟打造便携式智算版5G专网一体机。该产品是小型一体化 5G 专网便携设备，产品各模块及子系统位置清晰，方便安装，开机即用，“小时级”组网部署，可以为用户快速提供 5G 专网覆盖服务，满足客户 5G 专网下沉、快速交付和极简运维的要求。同时，结合算网下沉需求，本产品可基于 5G 专网方案，扩展算力下沉服务，灵活定制边缘下沉应用，提供专属算力服务，也可通过连接企业内网或互联网，扩展算力资源。 </w:t>
      </w:r>
    </w:p>
    <w:p w14:paraId="62AA018A">
      <w:pPr>
        <w:pStyle w:val="2"/>
        <w:spacing w:line="276" w:lineRule="auto"/>
        <w:rPr>
          <w:rFonts w:ascii="仿宋_GB2312" w:hAnsi="仿宋_GB2312" w:cs="仿宋_GB2312"/>
          <w:bCs/>
          <w:color w:val="000000" w:themeColor="text1"/>
          <w:szCs w:val="28"/>
          <w:highlight w:val="none"/>
          <w14:textFill>
            <w14:solidFill>
              <w14:schemeClr w14:val="tx1"/>
            </w14:solidFill>
          </w14:textFill>
        </w:rPr>
      </w:pPr>
      <w:bookmarkStart w:id="16" w:name="_Toc28682"/>
      <w:bookmarkStart w:id="17" w:name="_Toc234"/>
      <w:bookmarkStart w:id="18" w:name="_Toc11030"/>
      <w:bookmarkStart w:id="19" w:name="_Toc29373"/>
      <w:bookmarkStart w:id="20" w:name="_Toc116313891"/>
      <w:bookmarkStart w:id="21" w:name="_Toc9079"/>
      <w:r>
        <w:rPr>
          <w:rFonts w:hint="eastAsia" w:ascii="仿宋_GB2312" w:hAnsi="仿宋_GB2312" w:cs="仿宋_GB2312"/>
          <w:bCs/>
          <w:color w:val="000000" w:themeColor="text1"/>
          <w:szCs w:val="28"/>
          <w:highlight w:val="none"/>
          <w:lang w:val="en-US" w:eastAsia="zh-CN"/>
          <w14:textFill>
            <w14:solidFill>
              <w14:schemeClr w14:val="tx1"/>
            </w14:solidFill>
          </w14:textFill>
        </w:rPr>
        <w:t>投标</w:t>
      </w:r>
      <w:r>
        <w:rPr>
          <w:rFonts w:hint="eastAsia" w:ascii="仿宋_GB2312" w:hAnsi="仿宋_GB2312" w:cs="仿宋_GB2312"/>
          <w:bCs/>
          <w:color w:val="000000" w:themeColor="text1"/>
          <w:szCs w:val="28"/>
          <w:highlight w:val="none"/>
          <w14:textFill>
            <w14:solidFill>
              <w14:schemeClr w14:val="tx1"/>
            </w14:solidFill>
          </w14:textFill>
        </w:rPr>
        <w:t>方工作内容</w:t>
      </w:r>
      <w:bookmarkEnd w:id="16"/>
      <w:bookmarkEnd w:id="17"/>
      <w:bookmarkEnd w:id="18"/>
      <w:bookmarkEnd w:id="19"/>
      <w:bookmarkEnd w:id="20"/>
      <w:bookmarkEnd w:id="21"/>
    </w:p>
    <w:p w14:paraId="27A2CF04">
      <w:pPr>
        <w:spacing w:line="276" w:lineRule="auto"/>
        <w:rPr>
          <w:rFonts w:ascii="仿宋_GB2312" w:hAnsi="仿宋_GB2312" w:eastAsia="仿宋_GB2312" w:cs="仿宋_GB2312"/>
          <w:color w:val="000000" w:themeColor="text1"/>
          <w:sz w:val="28"/>
          <w:szCs w:val="28"/>
          <w:highlight w:val="none"/>
          <w14:textFill>
            <w14:solidFill>
              <w14:schemeClr w14:val="tx1"/>
            </w14:solidFill>
          </w14:textFill>
        </w:rPr>
      </w:pPr>
      <w:bookmarkStart w:id="22" w:name="_Toc116313893"/>
      <w:bookmarkStart w:id="23" w:name="_Toc20603"/>
      <w:r>
        <w:rPr>
          <w:rFonts w:hint="eastAsia" w:ascii="仿宋_GB2312" w:hAnsi="仿宋_GB2312" w:eastAsia="仿宋_GB2312" w:cs="仿宋_GB2312"/>
          <w:color w:val="000000" w:themeColor="text1"/>
          <w:sz w:val="28"/>
          <w:szCs w:val="28"/>
          <w:highlight w:val="none"/>
          <w14:textFill>
            <w14:solidFill>
              <w14:schemeClr w14:val="tx1"/>
            </w14:solidFill>
          </w14:textFill>
        </w:rPr>
        <w:t>根据</w:t>
      </w:r>
      <w:r>
        <w:rPr>
          <w:rFonts w:hint="eastAsia" w:ascii="仿宋_GB2312" w:hAnsi="仿宋_GB2312" w:eastAsia="仿宋_GB2312" w:cs="仿宋_GB2312"/>
          <w:color w:val="000000" w:themeColor="text1"/>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sz w:val="28"/>
          <w:szCs w:val="28"/>
          <w:highlight w:val="none"/>
          <w14:textFill>
            <w14:solidFill>
              <w14:schemeClr w14:val="tx1"/>
            </w14:solidFill>
          </w14:textFill>
        </w:rPr>
        <w:t>人的技术方案及生产要求，</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w:t>
      </w:r>
      <w:r>
        <w:rPr>
          <w:rFonts w:hint="eastAsia" w:ascii="仿宋_GB2312" w:hAnsi="仿宋_GB2312" w:eastAsia="仿宋_GB2312" w:cs="仿宋_GB2312"/>
          <w:color w:val="000000" w:themeColor="text1"/>
          <w:sz w:val="28"/>
          <w:szCs w:val="28"/>
          <w:highlight w:val="none"/>
          <w14:textFill>
            <w14:solidFill>
              <w14:schemeClr w14:val="tx1"/>
            </w14:solidFill>
          </w14:textFill>
        </w:rPr>
        <w:t>方提供如下工作内容：</w:t>
      </w:r>
    </w:p>
    <w:p w14:paraId="69D65B44">
      <w:pPr>
        <w:spacing w:line="276" w:lineRule="auto"/>
        <w:ind w:firstLine="42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w:t>
      </w:r>
      <w:r>
        <w:rPr>
          <w:rFonts w:hint="eastAsia" w:ascii="仿宋_GB2312" w:hAnsi="仿宋_GB2312" w:eastAsia="仿宋_GB2312" w:cs="仿宋_GB2312"/>
          <w:color w:val="000000" w:themeColor="text1"/>
          <w:sz w:val="28"/>
          <w:szCs w:val="28"/>
          <w:highlight w:val="none"/>
          <w14:textFill>
            <w14:solidFill>
              <w14:schemeClr w14:val="tx1"/>
            </w14:solidFill>
          </w14:textFill>
        </w:rPr>
        <w:tab/>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代工产品的物料和辅材的采购、生产和组装； </w:t>
      </w:r>
    </w:p>
    <w:p w14:paraId="11CE5A19">
      <w:pPr>
        <w:spacing w:line="276" w:lineRule="auto"/>
        <w:ind w:firstLine="42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14:textFill>
            <w14:solidFill>
              <w14:schemeClr w14:val="tx1"/>
            </w14:solidFill>
          </w14:textFill>
        </w:rPr>
        <w:tab/>
      </w:r>
      <w:r>
        <w:rPr>
          <w:rFonts w:hint="eastAsia" w:ascii="仿宋_GB2312" w:hAnsi="仿宋_GB2312" w:eastAsia="仿宋_GB2312" w:cs="仿宋_GB2312"/>
          <w:color w:val="000000" w:themeColor="text1"/>
          <w:sz w:val="28"/>
          <w:szCs w:val="28"/>
          <w:highlight w:val="none"/>
          <w14:textFill>
            <w14:solidFill>
              <w14:schemeClr w14:val="tx1"/>
            </w14:solidFill>
          </w14:textFill>
        </w:rPr>
        <w:t>物料采购及管理，</w:t>
      </w:r>
      <w:r>
        <w:rPr>
          <w:rFonts w:hint="eastAsia" w:ascii="仿宋_GB2312" w:hAnsi="仿宋_GB2312" w:eastAsia="仿宋_GB2312" w:cs="仿宋_GB2312"/>
          <w:color w:val="000000" w:themeColor="text1"/>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sz w:val="28"/>
          <w:szCs w:val="28"/>
          <w:highlight w:val="none"/>
          <w14:textFill>
            <w14:solidFill>
              <w14:schemeClr w14:val="tx1"/>
            </w14:solidFill>
          </w14:textFill>
        </w:rPr>
        <w:t>人参与并最终决定关键物料的选择；</w:t>
      </w:r>
    </w:p>
    <w:p w14:paraId="5A12CB80">
      <w:pPr>
        <w:spacing w:line="276" w:lineRule="auto"/>
        <w:ind w:firstLine="42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w:t>
      </w:r>
      <w:r>
        <w:rPr>
          <w:rFonts w:hint="eastAsia" w:ascii="仿宋_GB2312" w:hAnsi="仿宋_GB2312" w:eastAsia="仿宋_GB2312" w:cs="仿宋_GB2312"/>
          <w:color w:val="000000" w:themeColor="text1"/>
          <w:sz w:val="28"/>
          <w:szCs w:val="28"/>
          <w:highlight w:val="none"/>
          <w14:textFill>
            <w14:solidFill>
              <w14:schemeClr w14:val="tx1"/>
            </w14:solidFill>
          </w14:textFill>
        </w:rPr>
        <w:tab/>
      </w:r>
      <w:r>
        <w:rPr>
          <w:rFonts w:hint="eastAsia" w:ascii="仿宋_GB2312" w:hAnsi="仿宋_GB2312" w:eastAsia="仿宋_GB2312" w:cs="仿宋_GB2312"/>
          <w:color w:val="000000" w:themeColor="text1"/>
          <w:sz w:val="28"/>
          <w:szCs w:val="28"/>
          <w:highlight w:val="none"/>
          <w14:textFill>
            <w14:solidFill>
              <w14:schemeClr w14:val="tx1"/>
            </w14:solidFill>
          </w14:textFill>
        </w:rPr>
        <w:t>样机设备调试开通；</w:t>
      </w:r>
    </w:p>
    <w:p w14:paraId="471D0908">
      <w:pPr>
        <w:spacing w:line="276" w:lineRule="auto"/>
        <w:ind w:firstLine="42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w:t>
      </w:r>
      <w:r>
        <w:rPr>
          <w:rFonts w:hint="eastAsia" w:ascii="仿宋_GB2312" w:hAnsi="仿宋_GB2312" w:eastAsia="仿宋_GB2312" w:cs="仿宋_GB2312"/>
          <w:color w:val="000000" w:themeColor="text1"/>
          <w:sz w:val="28"/>
          <w:szCs w:val="28"/>
          <w:highlight w:val="none"/>
          <w14:textFill>
            <w14:solidFill>
              <w14:schemeClr w14:val="tx1"/>
            </w14:solidFill>
          </w14:textFill>
        </w:rPr>
        <w:tab/>
      </w:r>
      <w:r>
        <w:rPr>
          <w:rFonts w:hint="eastAsia" w:ascii="仿宋_GB2312" w:hAnsi="仿宋_GB2312" w:eastAsia="仿宋_GB2312" w:cs="仿宋_GB2312"/>
          <w:color w:val="000000" w:themeColor="text1"/>
          <w:sz w:val="28"/>
          <w:szCs w:val="28"/>
          <w:highlight w:val="none"/>
          <w14:textFill>
            <w14:solidFill>
              <w14:schemeClr w14:val="tx1"/>
            </w14:solidFill>
          </w14:textFill>
        </w:rPr>
        <w:t>样机售后支持与技术；</w:t>
      </w:r>
    </w:p>
    <w:p w14:paraId="6B8C68CA">
      <w:pPr>
        <w:spacing w:line="276" w:lineRule="auto"/>
        <w:ind w:firstLine="42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ab/>
      </w:r>
      <w:r>
        <w:rPr>
          <w:rFonts w:hint="eastAsia" w:ascii="仿宋_GB2312" w:hAnsi="仿宋_GB2312" w:eastAsia="仿宋_GB2312" w:cs="仿宋_GB2312"/>
          <w:color w:val="000000" w:themeColor="text1"/>
          <w:sz w:val="28"/>
          <w:szCs w:val="28"/>
          <w:highlight w:val="none"/>
          <w14:textFill>
            <w14:solidFill>
              <w14:schemeClr w14:val="tx1"/>
            </w14:solidFill>
          </w14:textFill>
        </w:rPr>
        <w:t>保证产品质量、安全、培训及设备升级。</w:t>
      </w:r>
    </w:p>
    <w:p w14:paraId="186C8ED9">
      <w:pPr>
        <w:pStyle w:val="2"/>
        <w:spacing w:line="276" w:lineRule="auto"/>
        <w:rPr>
          <w:rFonts w:ascii="仿宋_GB2312" w:hAnsi="仿宋_GB2312" w:cs="仿宋_GB2312"/>
          <w:bCs/>
          <w:color w:val="000000" w:themeColor="text1"/>
          <w:szCs w:val="28"/>
          <w:highlight w:val="none"/>
          <w14:textFill>
            <w14:solidFill>
              <w14:schemeClr w14:val="tx1"/>
            </w14:solidFill>
          </w14:textFill>
        </w:rPr>
      </w:pPr>
      <w:bookmarkStart w:id="24" w:name="_Toc22669"/>
      <w:bookmarkStart w:id="25" w:name="_Toc167698307"/>
      <w:bookmarkStart w:id="26" w:name="_Toc15668"/>
      <w:bookmarkStart w:id="27" w:name="_Toc16095"/>
      <w:bookmarkStart w:id="28" w:name="_Toc2541"/>
      <w:r>
        <w:rPr>
          <w:rFonts w:hint="eastAsia" w:ascii="仿宋_GB2312" w:hAnsi="仿宋_GB2312" w:cs="仿宋_GB2312"/>
          <w:bCs/>
          <w:color w:val="000000" w:themeColor="text1"/>
          <w:szCs w:val="28"/>
          <w:highlight w:val="none"/>
          <w14:textFill>
            <w14:solidFill>
              <w14:schemeClr w14:val="tx1"/>
            </w14:solidFill>
          </w14:textFill>
        </w:rPr>
        <w:t>代工产品及配件</w:t>
      </w:r>
      <w:bookmarkEnd w:id="24"/>
      <w:bookmarkEnd w:id="25"/>
      <w:bookmarkEnd w:id="26"/>
      <w:bookmarkEnd w:id="27"/>
      <w:bookmarkEnd w:id="28"/>
    </w:p>
    <w:p w14:paraId="5F8E669B">
      <w:pPr>
        <w:spacing w:line="276" w:lineRule="auto"/>
        <w:ind w:firstLine="42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投标</w:t>
      </w:r>
      <w:r>
        <w:rPr>
          <w:rFonts w:hint="eastAsia" w:ascii="仿宋_GB2312" w:hAnsi="仿宋_GB2312" w:eastAsia="仿宋_GB2312" w:cs="仿宋_GB2312"/>
          <w:color w:val="000000" w:themeColor="text1"/>
          <w:sz w:val="28"/>
          <w:szCs w:val="28"/>
          <w:highlight w:val="none"/>
          <w14:textFill>
            <w14:solidFill>
              <w14:schemeClr w14:val="tx1"/>
            </w14:solidFill>
          </w14:textFill>
        </w:rPr>
        <w:t>方根据订单要求采购智算版5G专网一体机材料并完成安装代工，智算版5G专网一体机不低于技术规范书要求的指标要求及国家相关规范要求。</w:t>
      </w:r>
    </w:p>
    <w:tbl>
      <w:tblPr>
        <w:tblStyle w:val="18"/>
        <w:tblW w:w="7999" w:type="dxa"/>
        <w:tblInd w:w="0" w:type="dxa"/>
        <w:tblLayout w:type="autofit"/>
        <w:tblCellMar>
          <w:top w:w="0" w:type="dxa"/>
          <w:left w:w="0" w:type="dxa"/>
          <w:bottom w:w="0" w:type="dxa"/>
          <w:right w:w="0" w:type="dxa"/>
        </w:tblCellMar>
      </w:tblPr>
      <w:tblGrid>
        <w:gridCol w:w="4402"/>
        <w:gridCol w:w="1660"/>
        <w:gridCol w:w="1937"/>
      </w:tblGrid>
      <w:tr w14:paraId="6E4CDD2D">
        <w:tblPrEx>
          <w:tblCellMar>
            <w:top w:w="0" w:type="dxa"/>
            <w:left w:w="0" w:type="dxa"/>
            <w:bottom w:w="0" w:type="dxa"/>
            <w:right w:w="0" w:type="dxa"/>
          </w:tblCellMar>
        </w:tblPrEx>
        <w:trPr>
          <w:trHeight w:val="841" w:hRule="atLeast"/>
        </w:trPr>
        <w:tc>
          <w:tcPr>
            <w:tcW w:w="440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14:paraId="526704FB">
            <w:pPr>
              <w:pStyle w:val="9"/>
              <w:spacing w:line="276" w:lineRule="auto"/>
              <w:jc w:val="center"/>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采购需求名称</w:t>
            </w:r>
          </w:p>
        </w:tc>
        <w:tc>
          <w:tcPr>
            <w:tcW w:w="166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14:paraId="381A11BA">
            <w:pPr>
              <w:pStyle w:val="9"/>
              <w:spacing w:line="276" w:lineRule="auto"/>
              <w:jc w:val="center"/>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数量</w:t>
            </w:r>
          </w:p>
        </w:tc>
        <w:tc>
          <w:tcPr>
            <w:tcW w:w="193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14:paraId="3C08DE2C">
            <w:pPr>
              <w:pStyle w:val="9"/>
              <w:spacing w:line="276" w:lineRule="auto"/>
              <w:jc w:val="center"/>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单位</w:t>
            </w:r>
          </w:p>
        </w:tc>
      </w:tr>
      <w:tr w14:paraId="50C82B37">
        <w:tblPrEx>
          <w:tblCellMar>
            <w:top w:w="0" w:type="dxa"/>
            <w:left w:w="0" w:type="dxa"/>
            <w:bottom w:w="0" w:type="dxa"/>
            <w:right w:w="0" w:type="dxa"/>
          </w:tblCellMar>
        </w:tblPrEx>
        <w:trPr>
          <w:trHeight w:val="515" w:hRule="atLeast"/>
        </w:trPr>
        <w:tc>
          <w:tcPr>
            <w:tcW w:w="440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14:paraId="6EFE9D77">
            <w:pPr>
              <w:pStyle w:val="9"/>
              <w:spacing w:line="276" w:lineRule="auto"/>
              <w:jc w:val="center"/>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智算版5G专网一体机</w:t>
            </w:r>
          </w:p>
        </w:tc>
        <w:tc>
          <w:tcPr>
            <w:tcW w:w="166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14:paraId="3E7153F0">
            <w:pPr>
              <w:pStyle w:val="9"/>
              <w:spacing w:line="276" w:lineRule="auto"/>
              <w:jc w:val="center"/>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360</w:t>
            </w:r>
          </w:p>
        </w:tc>
        <w:tc>
          <w:tcPr>
            <w:tcW w:w="193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14:paraId="383BA2D9">
            <w:pPr>
              <w:pStyle w:val="9"/>
              <w:spacing w:line="276" w:lineRule="auto"/>
              <w:jc w:val="cente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台</w:t>
            </w:r>
          </w:p>
        </w:tc>
      </w:tr>
    </w:tbl>
    <w:p w14:paraId="2F0F5763">
      <w:pPr>
        <w:pStyle w:val="9"/>
        <w:spacing w:line="276" w:lineRule="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注：</w:t>
      </w:r>
    </w:p>
    <w:p w14:paraId="184F7E33">
      <w:pPr>
        <w:pStyle w:val="9"/>
        <w:spacing w:line="276" w:lineRule="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1、以上为预估数量，各</w:t>
      </w:r>
      <w:r>
        <w:rPr>
          <w:rFonts w:hint="eastAsia" w:ascii="仿宋_GB2312" w:hAnsi="仿宋_GB2312" w:eastAsia="仿宋_GB2312" w:cs="仿宋_GB2312"/>
          <w:color w:val="000000" w:themeColor="text1"/>
          <w:sz w:val="28"/>
          <w:szCs w:val="28"/>
          <w:highlight w:val="none"/>
          <w14:textFill>
            <w14:solidFill>
              <w14:schemeClr w14:val="tx1"/>
            </w14:solidFill>
          </w14:textFill>
        </w:rPr>
        <w:t>份额</w:t>
      </w:r>
      <w:r>
        <w:rPr>
          <w:rFonts w:hint="eastAsia" w:ascii="仿宋_GB2312" w:hAnsi="仿宋_GB2312" w:eastAsia="仿宋_GB2312" w:cs="仿宋_GB2312"/>
          <w:color w:val="000000" w:themeColor="text1"/>
          <w:sz w:val="28"/>
          <w:szCs w:val="28"/>
          <w:highlight w:val="none"/>
          <w14:textFill>
            <w14:solidFill>
              <w14:schemeClr w14:val="tx1"/>
            </w14:solidFill>
          </w14:textFill>
        </w:rPr>
        <w:t>组件实际数量按实际执行数量结算，最终不超过合同</w:t>
      </w:r>
      <w:r>
        <w:rPr>
          <w:rFonts w:hint="eastAsia" w:ascii="仿宋_GB2312" w:hAnsi="仿宋_GB2312" w:eastAsia="仿宋_GB2312" w:cs="仿宋_GB2312"/>
          <w:color w:val="000000" w:themeColor="text1"/>
          <w:sz w:val="28"/>
          <w:szCs w:val="28"/>
          <w:highlight w:val="none"/>
          <w14:textFill>
            <w14:solidFill>
              <w14:schemeClr w14:val="tx1"/>
            </w14:solidFill>
          </w14:textFill>
        </w:rPr>
        <w:t>上限</w:t>
      </w:r>
      <w:r>
        <w:rPr>
          <w:rFonts w:hint="eastAsia" w:ascii="仿宋_GB2312" w:hAnsi="仿宋_GB2312" w:eastAsia="仿宋_GB2312" w:cs="仿宋_GB2312"/>
          <w:color w:val="000000" w:themeColor="text1"/>
          <w:sz w:val="28"/>
          <w:szCs w:val="28"/>
          <w:highlight w:val="none"/>
          <w14:textFill>
            <w14:solidFill>
              <w14:schemeClr w14:val="tx1"/>
            </w14:solidFill>
          </w14:textFill>
        </w:rPr>
        <w:t>金额。</w:t>
      </w:r>
    </w:p>
    <w:p w14:paraId="2B54F7E5">
      <w:pPr>
        <w:spacing w:line="276" w:lineRule="auto"/>
        <w:rPr>
          <w:rFonts w:ascii="仿宋_GB2312" w:hAnsi="仿宋_GB2312" w:eastAsia="仿宋_GB2312" w:cs="仿宋_GB2312"/>
          <w:color w:val="000000" w:themeColor="text1"/>
          <w:sz w:val="28"/>
          <w:szCs w:val="28"/>
          <w:highlight w:val="none"/>
          <w14:textFill>
            <w14:solidFill>
              <w14:schemeClr w14:val="tx1"/>
            </w14:solidFill>
          </w14:textFill>
        </w:rPr>
      </w:pPr>
    </w:p>
    <w:p w14:paraId="3C3CC24D">
      <w:pPr>
        <w:pStyle w:val="2"/>
        <w:spacing w:line="276" w:lineRule="auto"/>
        <w:rPr>
          <w:rFonts w:ascii="仿宋_GB2312" w:hAnsi="仿宋_GB2312" w:cs="仿宋_GB2312"/>
          <w:bCs/>
          <w:color w:val="000000" w:themeColor="text1"/>
          <w:szCs w:val="28"/>
          <w:highlight w:val="none"/>
          <w14:textFill>
            <w14:solidFill>
              <w14:schemeClr w14:val="tx1"/>
            </w14:solidFill>
          </w14:textFill>
        </w:rPr>
      </w:pPr>
      <w:bookmarkStart w:id="29" w:name="_Toc27652"/>
      <w:bookmarkStart w:id="30" w:name="_Toc12386"/>
      <w:bookmarkStart w:id="31" w:name="_Toc24009"/>
      <w:bookmarkStart w:id="32" w:name="_Toc5496"/>
      <w:r>
        <w:rPr>
          <w:rFonts w:hint="eastAsia" w:ascii="仿宋_GB2312" w:hAnsi="仿宋_GB2312" w:cs="仿宋_GB2312"/>
          <w:bCs/>
          <w:color w:val="000000" w:themeColor="text1"/>
          <w:szCs w:val="28"/>
          <w:highlight w:val="none"/>
          <w14:textFill>
            <w14:solidFill>
              <w14:schemeClr w14:val="tx1"/>
            </w14:solidFill>
          </w14:textFill>
        </w:rPr>
        <w:t>技术要求</w:t>
      </w:r>
      <w:bookmarkEnd w:id="22"/>
      <w:bookmarkEnd w:id="23"/>
      <w:bookmarkEnd w:id="29"/>
      <w:bookmarkEnd w:id="30"/>
      <w:bookmarkEnd w:id="31"/>
      <w:bookmarkEnd w:id="32"/>
    </w:p>
    <w:p w14:paraId="6F91A1DE">
      <w:pPr>
        <w:pStyle w:val="3"/>
        <w:spacing w:before="156" w:after="156" w:line="276" w:lineRule="auto"/>
        <w:rPr>
          <w:rFonts w:ascii="仿宋_GB2312" w:hAnsi="仿宋_GB2312" w:cs="仿宋_GB2312"/>
          <w:bCs w:val="0"/>
          <w:color w:val="000000" w:themeColor="text1"/>
          <w:sz w:val="28"/>
          <w:szCs w:val="28"/>
          <w:highlight w:val="none"/>
          <w14:textFill>
            <w14:solidFill>
              <w14:schemeClr w14:val="tx1"/>
            </w14:solidFill>
          </w14:textFill>
        </w:rPr>
      </w:pPr>
      <w:bookmarkStart w:id="33" w:name="_Toc28011"/>
      <w:bookmarkStart w:id="34" w:name="_Toc24277"/>
      <w:bookmarkStart w:id="35" w:name="_Toc116313895"/>
      <w:bookmarkStart w:id="36" w:name="_Toc22181"/>
      <w:bookmarkStart w:id="37" w:name="_Toc17240"/>
      <w:bookmarkStart w:id="38" w:name="_Toc20613"/>
      <w:r>
        <w:rPr>
          <w:rFonts w:hint="eastAsia" w:ascii="仿宋_GB2312" w:hAnsi="仿宋_GB2312" w:cs="仿宋_GB2312"/>
          <w:bCs w:val="0"/>
          <w:color w:val="000000" w:themeColor="text1"/>
          <w:sz w:val="28"/>
          <w:szCs w:val="28"/>
          <w:highlight w:val="none"/>
          <w14:textFill>
            <w14:solidFill>
              <w14:schemeClr w14:val="tx1"/>
            </w14:solidFill>
          </w14:textFill>
        </w:rPr>
        <w:t>功效要求</w:t>
      </w:r>
      <w:bookmarkEnd w:id="33"/>
      <w:bookmarkEnd w:id="34"/>
      <w:bookmarkEnd w:id="35"/>
      <w:bookmarkEnd w:id="36"/>
      <w:bookmarkEnd w:id="37"/>
      <w:bookmarkEnd w:id="38"/>
    </w:p>
    <w:p w14:paraId="04A3E1A8">
      <w:pPr>
        <w:pStyle w:val="9"/>
        <w:spacing w:line="276" w:lineRule="auto"/>
        <w:ind w:firstLine="492"/>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本项目旨在代工智算版5G专网一体机。</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w:t>
      </w:r>
      <w:r>
        <w:rPr>
          <w:rFonts w:hint="eastAsia" w:ascii="仿宋_GB2312" w:hAnsi="仿宋_GB2312" w:eastAsia="仿宋_GB2312" w:cs="仿宋_GB2312"/>
          <w:color w:val="000000" w:themeColor="text1"/>
          <w:sz w:val="28"/>
          <w:szCs w:val="28"/>
          <w:highlight w:val="none"/>
          <w14:textFill>
            <w14:solidFill>
              <w14:schemeClr w14:val="tx1"/>
            </w14:solidFill>
          </w14:textFill>
        </w:rPr>
        <w:t>方须协助</w:t>
      </w:r>
      <w:r>
        <w:rPr>
          <w:rFonts w:hint="eastAsia" w:ascii="仿宋_GB2312" w:hAnsi="仿宋_GB2312" w:eastAsia="仿宋_GB2312" w:cs="仿宋_GB2312"/>
          <w:color w:val="000000" w:themeColor="text1"/>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sz w:val="28"/>
          <w:szCs w:val="28"/>
          <w:highlight w:val="none"/>
          <w14:textFill>
            <w14:solidFill>
              <w14:schemeClr w14:val="tx1"/>
            </w14:solidFill>
          </w14:textFill>
        </w:rPr>
        <w:t>人完成以下技术要求，满足</w:t>
      </w:r>
      <w:r>
        <w:rPr>
          <w:rFonts w:hint="eastAsia" w:ascii="仿宋_GB2312" w:hAnsi="仿宋_GB2312" w:eastAsia="仿宋_GB2312" w:cs="仿宋_GB2312"/>
          <w:color w:val="000000" w:themeColor="text1"/>
          <w:sz w:val="28"/>
          <w:szCs w:val="28"/>
          <w:highlight w:val="none"/>
          <w14:textFill>
            <w14:solidFill>
              <w14:schemeClr w14:val="tx1"/>
            </w14:solidFill>
          </w14:textFill>
        </w:rPr>
        <w:t>招标人</w:t>
      </w:r>
      <w:r>
        <w:rPr>
          <w:rFonts w:hint="eastAsia" w:ascii="仿宋_GB2312" w:hAnsi="仿宋_GB2312" w:eastAsia="仿宋_GB2312" w:cs="仿宋_GB2312"/>
          <w:color w:val="000000" w:themeColor="text1"/>
          <w:sz w:val="28"/>
          <w:szCs w:val="28"/>
          <w:highlight w:val="none"/>
          <w14:textFill>
            <w14:solidFill>
              <w14:schemeClr w14:val="tx1"/>
            </w14:solidFill>
          </w14:textFill>
        </w:rPr>
        <w:t>需求的不同场景。</w:t>
      </w:r>
    </w:p>
    <w:p w14:paraId="7CC20746">
      <w:pPr>
        <w:pStyle w:val="4"/>
        <w:numPr>
          <w:ilvl w:val="2"/>
          <w:numId w:val="1"/>
        </w:numPr>
        <w:spacing w:line="276" w:lineRule="auto"/>
        <w:rPr>
          <w:rFonts w:ascii="仿宋_GB2312" w:hAnsi="仿宋_GB2312" w:eastAsia="仿宋_GB2312" w:cs="仿宋_GB2312"/>
          <w:b w:val="0"/>
          <w:snapToGrid w:val="0"/>
          <w:color w:val="000000" w:themeColor="text1"/>
          <w:kern w:val="0"/>
          <w:sz w:val="28"/>
          <w:szCs w:val="28"/>
          <w:highlight w:val="none"/>
          <w14:textFill>
            <w14:solidFill>
              <w14:schemeClr w14:val="tx1"/>
            </w14:solidFill>
          </w14:textFill>
        </w:rPr>
      </w:pPr>
      <w:bookmarkStart w:id="39" w:name="_Toc22275"/>
      <w:bookmarkStart w:id="40" w:name="_Toc24869"/>
      <w:bookmarkStart w:id="41" w:name="_Toc8802"/>
      <w:bookmarkStart w:id="42" w:name="_Toc18388"/>
      <w:r>
        <w:rPr>
          <w:rFonts w:hint="eastAsia" w:ascii="仿宋_GB2312" w:hAnsi="仿宋_GB2312" w:eastAsia="仿宋_GB2312" w:cs="仿宋_GB2312"/>
          <w:b w:val="0"/>
          <w:snapToGrid w:val="0"/>
          <w:color w:val="000000" w:themeColor="text1"/>
          <w:kern w:val="0"/>
          <w:sz w:val="28"/>
          <w:szCs w:val="28"/>
          <w:highlight w:val="none"/>
          <w14:textFill>
            <w14:solidFill>
              <w14:schemeClr w14:val="tx1"/>
            </w14:solidFill>
          </w14:textFill>
        </w:rPr>
        <w:t>智算版5G专网一体</w:t>
      </w:r>
      <w:bookmarkEnd w:id="39"/>
      <w:r>
        <w:rPr>
          <w:rFonts w:hint="eastAsia" w:ascii="仿宋_GB2312" w:hAnsi="仿宋_GB2312" w:eastAsia="仿宋_GB2312" w:cs="仿宋_GB2312"/>
          <w:b w:val="0"/>
          <w:snapToGrid w:val="0"/>
          <w:color w:val="000000" w:themeColor="text1"/>
          <w:kern w:val="0"/>
          <w:sz w:val="28"/>
          <w:szCs w:val="28"/>
          <w:highlight w:val="none"/>
          <w14:textFill>
            <w14:solidFill>
              <w14:schemeClr w14:val="tx1"/>
            </w14:solidFill>
          </w14:textFill>
        </w:rPr>
        <w:t>机</w:t>
      </w:r>
      <w:bookmarkEnd w:id="40"/>
      <w:bookmarkEnd w:id="41"/>
      <w:bookmarkEnd w:id="42"/>
    </w:p>
    <w:p w14:paraId="00F5938B">
      <w:pPr>
        <w:pStyle w:val="9"/>
        <w:spacing w:line="276" w:lineRule="auto"/>
        <w:ind w:firstLine="48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智算版5G专网一体机，为轻量化核心网和5G NR功能为一体的融合网络设备，满足支持三种5G工厂组网模式的功能指标；支持边缘算力平台部署，支持实时操作系统，支持云化控制应用在基站侧的灵活部署，实现5G内生工业控制能力，支持运行虚拟化PLC的功能指标；满足支持算力能力可拓展的功能指标；面向工业控制业务的通信时延低于8ms,可靠性达到99.999%，抖动不超过1ms的性能指标；实现边缘算力平台部署；实现支持数据存储可扩展，基础数据存储容量不少于2T的性能指标。整机满足便携、一体化、易安装部署，可拓展性强、可远程调试等特点。</w:t>
      </w:r>
    </w:p>
    <w:p w14:paraId="222069AB">
      <w:pPr>
        <w:pStyle w:val="3"/>
        <w:spacing w:before="156" w:after="156" w:line="276" w:lineRule="auto"/>
        <w:rPr>
          <w:rFonts w:ascii="仿宋_GB2312" w:hAnsi="仿宋_GB2312" w:cs="仿宋_GB2312"/>
          <w:bCs w:val="0"/>
          <w:color w:val="000000" w:themeColor="text1"/>
          <w:sz w:val="28"/>
          <w:szCs w:val="28"/>
          <w:highlight w:val="none"/>
          <w14:textFill>
            <w14:solidFill>
              <w14:schemeClr w14:val="tx1"/>
            </w14:solidFill>
          </w14:textFill>
        </w:rPr>
      </w:pPr>
      <w:bookmarkStart w:id="43" w:name="_Toc6544"/>
      <w:bookmarkStart w:id="44" w:name="_Toc8844"/>
      <w:bookmarkStart w:id="45" w:name="_Toc2513"/>
      <w:bookmarkStart w:id="46" w:name="_Toc29023"/>
      <w:r>
        <w:rPr>
          <w:rFonts w:hint="eastAsia" w:ascii="仿宋_GB2312" w:hAnsi="仿宋_GB2312" w:cs="仿宋_GB2312"/>
          <w:bCs w:val="0"/>
          <w:color w:val="000000" w:themeColor="text1"/>
          <w:sz w:val="28"/>
          <w:szCs w:val="28"/>
          <w:highlight w:val="none"/>
          <w14:textFill>
            <w14:solidFill>
              <w14:schemeClr w14:val="tx1"/>
            </w14:solidFill>
          </w14:textFill>
        </w:rPr>
        <w:t>项目技术要求</w:t>
      </w:r>
      <w:bookmarkEnd w:id="43"/>
      <w:bookmarkEnd w:id="44"/>
      <w:bookmarkEnd w:id="45"/>
      <w:bookmarkEnd w:id="46"/>
    </w:p>
    <w:p w14:paraId="62E10937">
      <w:pPr>
        <w:pStyle w:val="4"/>
        <w:numPr>
          <w:ilvl w:val="2"/>
          <w:numId w:val="1"/>
        </w:numPr>
        <w:spacing w:line="276" w:lineRule="auto"/>
        <w:rPr>
          <w:rFonts w:ascii="仿宋_GB2312" w:hAnsi="仿宋_GB2312" w:eastAsia="仿宋_GB2312" w:cs="仿宋_GB2312"/>
          <w:b w:val="0"/>
          <w:snapToGrid w:val="0"/>
          <w:color w:val="000000" w:themeColor="text1"/>
          <w:kern w:val="0"/>
          <w:sz w:val="28"/>
          <w:szCs w:val="28"/>
          <w:highlight w:val="none"/>
          <w14:textFill>
            <w14:solidFill>
              <w14:schemeClr w14:val="tx1"/>
            </w14:solidFill>
          </w14:textFill>
        </w:rPr>
      </w:pPr>
      <w:bookmarkStart w:id="47" w:name="_Toc19008"/>
      <w:bookmarkStart w:id="48" w:name="_Toc860"/>
      <w:bookmarkStart w:id="49" w:name="_Toc10185"/>
      <w:bookmarkStart w:id="50" w:name="_Toc3160"/>
      <w:r>
        <w:rPr>
          <w:rFonts w:hint="eastAsia" w:ascii="仿宋_GB2312" w:hAnsi="仿宋_GB2312" w:eastAsia="仿宋_GB2312" w:cs="仿宋_GB2312"/>
          <w:b w:val="0"/>
          <w:snapToGrid w:val="0"/>
          <w:color w:val="000000" w:themeColor="text1"/>
          <w:kern w:val="0"/>
          <w:sz w:val="28"/>
          <w:szCs w:val="28"/>
          <w:highlight w:val="none"/>
          <w14:textFill>
            <w14:solidFill>
              <w14:schemeClr w14:val="tx1"/>
            </w14:solidFill>
          </w14:textFill>
        </w:rPr>
        <w:t>智算版5G专网一体机</w:t>
      </w:r>
      <w:bookmarkEnd w:id="47"/>
      <w:bookmarkEnd w:id="48"/>
      <w:bookmarkEnd w:id="49"/>
      <w:bookmarkEnd w:id="50"/>
    </w:p>
    <w:tbl>
      <w:tblPr>
        <w:tblStyle w:val="18"/>
        <w:tblW w:w="8384" w:type="dxa"/>
        <w:tblInd w:w="98" w:type="dxa"/>
        <w:tblLayout w:type="autofit"/>
        <w:tblCellMar>
          <w:top w:w="0" w:type="dxa"/>
          <w:left w:w="108" w:type="dxa"/>
          <w:bottom w:w="0" w:type="dxa"/>
          <w:right w:w="108" w:type="dxa"/>
        </w:tblCellMar>
      </w:tblPr>
      <w:tblGrid>
        <w:gridCol w:w="1474"/>
        <w:gridCol w:w="6910"/>
      </w:tblGrid>
      <w:tr w14:paraId="7D2EC2E3">
        <w:tblPrEx>
          <w:tblCellMar>
            <w:top w:w="0" w:type="dxa"/>
            <w:left w:w="108" w:type="dxa"/>
            <w:bottom w:w="0" w:type="dxa"/>
            <w:right w:w="108" w:type="dxa"/>
          </w:tblCellMar>
        </w:tblPrEx>
        <w:trPr>
          <w:trHeight w:val="365" w:hRule="atLeast"/>
        </w:trPr>
        <w:tc>
          <w:tcPr>
            <w:tcW w:w="14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BCDE13">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指标项</w:t>
            </w:r>
          </w:p>
        </w:tc>
        <w:tc>
          <w:tcPr>
            <w:tcW w:w="691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A031BE">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交付指标</w:t>
            </w:r>
          </w:p>
        </w:tc>
      </w:tr>
      <w:tr w14:paraId="5B87D8E9">
        <w:tblPrEx>
          <w:tblCellMar>
            <w:top w:w="0" w:type="dxa"/>
            <w:left w:w="108" w:type="dxa"/>
            <w:bottom w:w="0" w:type="dxa"/>
            <w:right w:w="108" w:type="dxa"/>
          </w:tblCellMar>
        </w:tblPrEx>
        <w:trPr>
          <w:trHeight w:val="500" w:hRule="atLeast"/>
        </w:trPr>
        <w:tc>
          <w:tcPr>
            <w:tcW w:w="1474" w:type="dxa"/>
            <w:tcBorders>
              <w:top w:val="nil"/>
              <w:left w:val="single" w:color="000000" w:sz="8" w:space="0"/>
              <w:bottom w:val="single" w:color="000000" w:sz="8" w:space="0"/>
              <w:right w:val="single" w:color="000000" w:sz="8" w:space="0"/>
            </w:tcBorders>
            <w:shd w:val="clear" w:color="auto" w:fill="auto"/>
            <w:vAlign w:val="center"/>
          </w:tcPr>
          <w:p w14:paraId="020379F9">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系统组成</w:t>
            </w:r>
          </w:p>
        </w:tc>
        <w:tc>
          <w:tcPr>
            <w:tcW w:w="6910" w:type="dxa"/>
            <w:tcBorders>
              <w:top w:val="nil"/>
              <w:left w:val="single" w:color="000000" w:sz="8" w:space="0"/>
              <w:bottom w:val="single" w:color="000000" w:sz="8" w:space="0"/>
              <w:right w:val="single" w:color="000000" w:sz="8" w:space="0"/>
            </w:tcBorders>
            <w:shd w:val="clear" w:color="auto" w:fill="auto"/>
            <w:vAlign w:val="center"/>
          </w:tcPr>
          <w:p w14:paraId="041F00C1">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5G</w:t>
            </w:r>
            <w:r>
              <w:rPr>
                <w:rStyle w:val="37"/>
                <w:rFonts w:hint="default"/>
                <w:color w:val="000000" w:themeColor="text1"/>
                <w:highlight w:val="none"/>
                <w:lang w:bidi="ar"/>
                <w14:textFill>
                  <w14:solidFill>
                    <w14:schemeClr w14:val="tx1"/>
                  </w14:solidFill>
                </w14:textFill>
              </w:rPr>
              <w:t xml:space="preserve"> NR单元（含射频、基带）、核心网单元、主控单元、算力单元一体化集成</w:t>
            </w:r>
          </w:p>
        </w:tc>
      </w:tr>
      <w:tr w14:paraId="63D92EEB">
        <w:tblPrEx>
          <w:tblCellMar>
            <w:top w:w="0" w:type="dxa"/>
            <w:left w:w="108" w:type="dxa"/>
            <w:bottom w:w="0" w:type="dxa"/>
            <w:right w:w="108" w:type="dxa"/>
          </w:tblCellMar>
        </w:tblPrEx>
        <w:trPr>
          <w:trHeight w:val="400" w:hRule="atLeast"/>
        </w:trPr>
        <w:tc>
          <w:tcPr>
            <w:tcW w:w="1474" w:type="dxa"/>
            <w:vMerge w:val="restart"/>
            <w:tcBorders>
              <w:top w:val="nil"/>
              <w:left w:val="single" w:color="000000" w:sz="8" w:space="0"/>
              <w:right w:val="single" w:color="000000" w:sz="8" w:space="0"/>
            </w:tcBorders>
            <w:shd w:val="clear" w:color="auto" w:fill="auto"/>
            <w:vAlign w:val="center"/>
          </w:tcPr>
          <w:p w14:paraId="5BAA7749">
            <w:pPr>
              <w:widowControl/>
              <w:jc w:val="center"/>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通信模块</w:t>
            </w:r>
          </w:p>
        </w:tc>
        <w:tc>
          <w:tcPr>
            <w:tcW w:w="6910" w:type="dxa"/>
            <w:tcBorders>
              <w:top w:val="nil"/>
              <w:left w:val="single" w:color="000000" w:sz="8" w:space="0"/>
              <w:bottom w:val="single" w:color="000000" w:sz="8" w:space="0"/>
              <w:right w:val="single" w:color="000000" w:sz="8" w:space="0"/>
            </w:tcBorders>
            <w:shd w:val="clear" w:color="auto" w:fill="auto"/>
            <w:vAlign w:val="center"/>
          </w:tcPr>
          <w:p w14:paraId="15378E30">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支持三种5G工厂组网模式</w:t>
            </w:r>
          </w:p>
        </w:tc>
      </w:tr>
      <w:tr w14:paraId="20E96AFA">
        <w:tblPrEx>
          <w:tblCellMar>
            <w:top w:w="0" w:type="dxa"/>
            <w:left w:w="108" w:type="dxa"/>
            <w:bottom w:w="0" w:type="dxa"/>
            <w:right w:w="108" w:type="dxa"/>
          </w:tblCellMar>
        </w:tblPrEx>
        <w:trPr>
          <w:trHeight w:val="400" w:hRule="atLeast"/>
        </w:trPr>
        <w:tc>
          <w:tcPr>
            <w:tcW w:w="1474" w:type="dxa"/>
            <w:vMerge w:val="continue"/>
            <w:tcBorders>
              <w:left w:val="single" w:color="000000" w:sz="8" w:space="0"/>
              <w:right w:val="single" w:color="000000" w:sz="8" w:space="0"/>
            </w:tcBorders>
            <w:shd w:val="clear" w:color="auto" w:fill="auto"/>
            <w:vAlign w:val="center"/>
          </w:tcPr>
          <w:p w14:paraId="1CC2A559">
            <w:pPr>
              <w:jc w:val="cente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vAlign w:val="center"/>
          </w:tcPr>
          <w:p w14:paraId="46624A28">
            <w:pPr>
              <w:widowControl/>
              <w:textAlignment w:val="center"/>
              <w:rPr>
                <w:rFonts w:ascii="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工作频段：N79</w:t>
            </w:r>
            <w:r>
              <w:rPr>
                <w:rFonts w:hint="eastAsia"/>
                <w:color w:val="000000" w:themeColor="text1"/>
                <w:highlight w:val="none"/>
                <w14:textFill>
                  <w14:solidFill>
                    <w14:schemeClr w14:val="tx1"/>
                  </w14:solidFill>
                </w14:textFill>
              </w:rPr>
              <w:t>（4800-4900MHz）</w:t>
            </w:r>
          </w:p>
        </w:tc>
      </w:tr>
      <w:tr w14:paraId="56C05D5A">
        <w:tblPrEx>
          <w:tblCellMar>
            <w:top w:w="0" w:type="dxa"/>
            <w:left w:w="108" w:type="dxa"/>
            <w:bottom w:w="0" w:type="dxa"/>
            <w:right w:w="108" w:type="dxa"/>
          </w:tblCellMar>
        </w:tblPrEx>
        <w:trPr>
          <w:trHeight w:val="400" w:hRule="atLeast"/>
        </w:trPr>
        <w:tc>
          <w:tcPr>
            <w:tcW w:w="1474" w:type="dxa"/>
            <w:vMerge w:val="continue"/>
            <w:tcBorders>
              <w:left w:val="single" w:color="000000" w:sz="8" w:space="0"/>
              <w:right w:val="single" w:color="000000" w:sz="8" w:space="0"/>
            </w:tcBorders>
            <w:shd w:val="clear" w:color="auto" w:fill="auto"/>
            <w:vAlign w:val="center"/>
          </w:tcPr>
          <w:p w14:paraId="5320A5BC">
            <w:pPr>
              <w:jc w:val="cente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tcPr>
          <w:p w14:paraId="7CE67B9D">
            <w:pPr>
              <w:widowControl/>
              <w:textAlignment w:val="top"/>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通道数：2T2R</w:t>
            </w:r>
          </w:p>
        </w:tc>
      </w:tr>
      <w:tr w14:paraId="3563D78B">
        <w:tblPrEx>
          <w:tblCellMar>
            <w:top w:w="0" w:type="dxa"/>
            <w:left w:w="108" w:type="dxa"/>
            <w:bottom w:w="0" w:type="dxa"/>
            <w:right w:w="108" w:type="dxa"/>
          </w:tblCellMar>
        </w:tblPrEx>
        <w:trPr>
          <w:trHeight w:val="400" w:hRule="atLeast"/>
        </w:trPr>
        <w:tc>
          <w:tcPr>
            <w:tcW w:w="1474" w:type="dxa"/>
            <w:vMerge w:val="continue"/>
            <w:tcBorders>
              <w:left w:val="single" w:color="000000" w:sz="8" w:space="0"/>
              <w:right w:val="single" w:color="000000" w:sz="8" w:space="0"/>
            </w:tcBorders>
            <w:shd w:val="clear" w:color="auto" w:fill="auto"/>
            <w:vAlign w:val="center"/>
          </w:tcPr>
          <w:p w14:paraId="75F2A5FD">
            <w:pPr>
              <w:jc w:val="cente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tcPr>
          <w:p w14:paraId="6E7FC324">
            <w:pPr>
              <w:widowControl/>
              <w:textAlignment w:val="top"/>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输出功率：1W/通道</w:t>
            </w:r>
          </w:p>
        </w:tc>
      </w:tr>
      <w:tr w14:paraId="4BF63660">
        <w:tblPrEx>
          <w:tblCellMar>
            <w:top w:w="0" w:type="dxa"/>
            <w:left w:w="108" w:type="dxa"/>
            <w:bottom w:w="0" w:type="dxa"/>
            <w:right w:w="108" w:type="dxa"/>
          </w:tblCellMar>
        </w:tblPrEx>
        <w:trPr>
          <w:trHeight w:val="400" w:hRule="atLeast"/>
        </w:trPr>
        <w:tc>
          <w:tcPr>
            <w:tcW w:w="1474" w:type="dxa"/>
            <w:vMerge w:val="continue"/>
            <w:tcBorders>
              <w:left w:val="single" w:color="000000" w:sz="8" w:space="0"/>
              <w:right w:val="single" w:color="000000" w:sz="8" w:space="0"/>
            </w:tcBorders>
            <w:shd w:val="clear" w:color="auto" w:fill="auto"/>
            <w:vAlign w:val="center"/>
          </w:tcPr>
          <w:p w14:paraId="1BF13969">
            <w:pPr>
              <w:jc w:val="cente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tcPr>
          <w:p w14:paraId="4D8D9AAC">
            <w:pPr>
              <w:widowControl/>
              <w:textAlignment w:val="top"/>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单小区，每小区用户数：200激活/400RRC连接</w:t>
            </w:r>
          </w:p>
        </w:tc>
      </w:tr>
      <w:tr w14:paraId="367E5AFB">
        <w:tblPrEx>
          <w:tblCellMar>
            <w:top w:w="0" w:type="dxa"/>
            <w:left w:w="108" w:type="dxa"/>
            <w:bottom w:w="0" w:type="dxa"/>
            <w:right w:w="108" w:type="dxa"/>
          </w:tblCellMar>
        </w:tblPrEx>
        <w:trPr>
          <w:trHeight w:val="400" w:hRule="atLeast"/>
        </w:trPr>
        <w:tc>
          <w:tcPr>
            <w:tcW w:w="1474" w:type="dxa"/>
            <w:vMerge w:val="continue"/>
            <w:tcBorders>
              <w:left w:val="single" w:color="000000" w:sz="8" w:space="0"/>
              <w:right w:val="single" w:color="000000" w:sz="8" w:space="0"/>
            </w:tcBorders>
            <w:shd w:val="clear" w:color="auto" w:fill="auto"/>
            <w:vAlign w:val="center"/>
          </w:tcPr>
          <w:p w14:paraId="36F61C17">
            <w:pPr>
              <w:jc w:val="cente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tcPr>
          <w:p w14:paraId="4BA122DC">
            <w:pPr>
              <w:widowControl/>
              <w:textAlignment w:val="top"/>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核心网功能：AMF、SMF、AUSF、UDM、UPF、PCF、UDR</w:t>
            </w:r>
          </w:p>
        </w:tc>
      </w:tr>
      <w:tr w14:paraId="5B527C8C">
        <w:tblPrEx>
          <w:tblCellMar>
            <w:top w:w="0" w:type="dxa"/>
            <w:left w:w="108" w:type="dxa"/>
            <w:bottom w:w="0" w:type="dxa"/>
            <w:right w:w="108" w:type="dxa"/>
          </w:tblCellMar>
        </w:tblPrEx>
        <w:trPr>
          <w:trHeight w:val="400" w:hRule="atLeast"/>
        </w:trPr>
        <w:tc>
          <w:tcPr>
            <w:tcW w:w="1474" w:type="dxa"/>
            <w:vMerge w:val="continue"/>
            <w:tcBorders>
              <w:left w:val="single" w:color="000000" w:sz="8" w:space="0"/>
              <w:right w:val="single" w:color="000000" w:sz="8" w:space="0"/>
            </w:tcBorders>
            <w:shd w:val="clear" w:color="auto" w:fill="auto"/>
            <w:vAlign w:val="center"/>
          </w:tcPr>
          <w:p w14:paraId="50DCE955">
            <w:pPr>
              <w:jc w:val="cente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tcPr>
          <w:p w14:paraId="025D9543">
            <w:pPr>
              <w:widowControl/>
              <w:textAlignment w:val="top"/>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单小区最大吞吐量（100MHz）:下行：750Mbps / 上行：230Mbps</w:t>
            </w:r>
          </w:p>
        </w:tc>
      </w:tr>
      <w:tr w14:paraId="3F5771BE">
        <w:tblPrEx>
          <w:tblCellMar>
            <w:top w:w="0" w:type="dxa"/>
            <w:left w:w="108" w:type="dxa"/>
            <w:bottom w:w="0" w:type="dxa"/>
            <w:right w:w="108" w:type="dxa"/>
          </w:tblCellMar>
        </w:tblPrEx>
        <w:trPr>
          <w:trHeight w:val="400" w:hRule="atLeast"/>
        </w:trPr>
        <w:tc>
          <w:tcPr>
            <w:tcW w:w="1474" w:type="dxa"/>
            <w:vMerge w:val="continue"/>
            <w:tcBorders>
              <w:left w:val="single" w:color="000000" w:sz="8" w:space="0"/>
              <w:right w:val="single" w:color="000000" w:sz="8" w:space="0"/>
            </w:tcBorders>
            <w:shd w:val="clear" w:color="auto" w:fill="auto"/>
            <w:vAlign w:val="center"/>
          </w:tcPr>
          <w:p w14:paraId="05A11E1C">
            <w:pPr>
              <w:jc w:val="cente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tcPr>
          <w:p w14:paraId="79E5AEC8">
            <w:pPr>
              <w:widowControl/>
              <w:textAlignment w:val="top"/>
              <w:rPr>
                <w:rFonts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下行最大输出功率：</w:t>
            </w:r>
            <w:r>
              <w:rPr>
                <w:rFonts w:hint="eastAsia" w:ascii="仿宋_GB2312" w:hAnsi="仿宋_GB2312" w:eastAsia="仿宋_GB2312" w:cs="仿宋_GB2312"/>
                <w:color w:val="000000" w:themeColor="text1"/>
                <w:highlight w:val="none"/>
                <w14:textFill>
                  <w14:solidFill>
                    <w14:schemeClr w14:val="tx1"/>
                  </w14:solidFill>
                </w14:textFill>
              </w:rPr>
              <w:t>30±2dBm</w:t>
            </w:r>
          </w:p>
        </w:tc>
      </w:tr>
      <w:tr w14:paraId="57841BBB">
        <w:tblPrEx>
          <w:tblCellMar>
            <w:top w:w="0" w:type="dxa"/>
            <w:left w:w="108" w:type="dxa"/>
            <w:bottom w:w="0" w:type="dxa"/>
            <w:right w:w="108" w:type="dxa"/>
          </w:tblCellMar>
        </w:tblPrEx>
        <w:trPr>
          <w:trHeight w:val="400" w:hRule="atLeast"/>
        </w:trPr>
        <w:tc>
          <w:tcPr>
            <w:tcW w:w="1474" w:type="dxa"/>
            <w:vMerge w:val="continue"/>
            <w:tcBorders>
              <w:left w:val="single" w:color="000000" w:sz="8" w:space="0"/>
              <w:right w:val="single" w:color="000000" w:sz="8" w:space="0"/>
            </w:tcBorders>
            <w:shd w:val="clear" w:color="auto" w:fill="auto"/>
            <w:vAlign w:val="center"/>
          </w:tcPr>
          <w:p w14:paraId="27AEDE9F">
            <w:pPr>
              <w:jc w:val="cente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tcPr>
          <w:p w14:paraId="07F47466">
            <w:pPr>
              <w:widowControl/>
              <w:textAlignment w:val="top"/>
              <w:rPr>
                <w:rFonts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下行ACLR：≤-45dBc</w:t>
            </w:r>
          </w:p>
        </w:tc>
      </w:tr>
      <w:tr w14:paraId="7F2A4075">
        <w:tblPrEx>
          <w:tblCellMar>
            <w:top w:w="0" w:type="dxa"/>
            <w:left w:w="108" w:type="dxa"/>
            <w:bottom w:w="0" w:type="dxa"/>
            <w:right w:w="108" w:type="dxa"/>
          </w:tblCellMar>
        </w:tblPrEx>
        <w:trPr>
          <w:trHeight w:val="400" w:hRule="atLeast"/>
        </w:trPr>
        <w:tc>
          <w:tcPr>
            <w:tcW w:w="1474" w:type="dxa"/>
            <w:vMerge w:val="continue"/>
            <w:tcBorders>
              <w:left w:val="single" w:color="000000" w:sz="8" w:space="0"/>
              <w:right w:val="single" w:color="000000" w:sz="8" w:space="0"/>
            </w:tcBorders>
            <w:shd w:val="clear" w:color="auto" w:fill="auto"/>
            <w:vAlign w:val="center"/>
          </w:tcPr>
          <w:p w14:paraId="315401BD">
            <w:pPr>
              <w:jc w:val="cente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tcPr>
          <w:p w14:paraId="5D6FAD4C">
            <w:pPr>
              <w:widowControl/>
              <w:textAlignment w:val="top"/>
              <w:rPr>
                <w:rFonts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下行EVM：≤3.5%@256QAM</w:t>
            </w:r>
          </w:p>
        </w:tc>
      </w:tr>
      <w:tr w14:paraId="73E63EA7">
        <w:tblPrEx>
          <w:tblCellMar>
            <w:top w:w="0" w:type="dxa"/>
            <w:left w:w="108" w:type="dxa"/>
            <w:bottom w:w="0" w:type="dxa"/>
            <w:right w:w="108" w:type="dxa"/>
          </w:tblCellMar>
        </w:tblPrEx>
        <w:trPr>
          <w:trHeight w:val="400" w:hRule="atLeast"/>
        </w:trPr>
        <w:tc>
          <w:tcPr>
            <w:tcW w:w="1474" w:type="dxa"/>
            <w:vMerge w:val="continue"/>
            <w:tcBorders>
              <w:left w:val="single" w:color="000000" w:sz="8" w:space="0"/>
              <w:bottom w:val="single" w:color="000000" w:sz="8" w:space="0"/>
              <w:right w:val="single" w:color="000000" w:sz="8" w:space="0"/>
            </w:tcBorders>
            <w:shd w:val="clear" w:color="auto" w:fill="auto"/>
            <w:vAlign w:val="center"/>
          </w:tcPr>
          <w:p w14:paraId="461F2394">
            <w:pPr>
              <w:jc w:val="cente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tcPr>
          <w:p w14:paraId="4F49B66A">
            <w:pPr>
              <w:widowControl/>
              <w:textAlignment w:val="top"/>
              <w:rPr>
                <w:rFonts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上行静态灵敏度：</w:t>
            </w:r>
            <w:r>
              <w:rPr>
                <w:rFonts w:hint="eastAsia" w:ascii="仿宋_GB2312" w:hAnsi="仿宋_GB2312" w:eastAsia="仿宋_GB2312" w:cs="仿宋_GB2312"/>
                <w:color w:val="000000" w:themeColor="text1"/>
                <w:highlight w:val="none"/>
                <w14:textFill>
                  <w14:solidFill>
                    <w14:schemeClr w14:val="tx1"/>
                  </w14:solidFill>
                </w14:textFill>
              </w:rPr>
              <w:t>≤-94dBm</w:t>
            </w:r>
          </w:p>
        </w:tc>
      </w:tr>
      <w:tr w14:paraId="2AEB179E">
        <w:tblPrEx>
          <w:tblCellMar>
            <w:top w:w="0" w:type="dxa"/>
            <w:left w:w="108" w:type="dxa"/>
            <w:bottom w:w="0" w:type="dxa"/>
            <w:right w:w="108" w:type="dxa"/>
          </w:tblCellMar>
        </w:tblPrEx>
        <w:trPr>
          <w:trHeight w:val="900" w:hRule="atLeast"/>
        </w:trPr>
        <w:tc>
          <w:tcPr>
            <w:tcW w:w="1474" w:type="dxa"/>
            <w:tcBorders>
              <w:top w:val="nil"/>
              <w:left w:val="single" w:color="000000" w:sz="8" w:space="0"/>
              <w:bottom w:val="single" w:color="000000" w:sz="8" w:space="0"/>
              <w:right w:val="single" w:color="000000" w:sz="8" w:space="0"/>
            </w:tcBorders>
            <w:shd w:val="clear" w:color="auto" w:fill="auto"/>
            <w:vAlign w:val="center"/>
          </w:tcPr>
          <w:p w14:paraId="39D486CD">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算力单元</w:t>
            </w:r>
          </w:p>
        </w:tc>
        <w:tc>
          <w:tcPr>
            <w:tcW w:w="6910" w:type="dxa"/>
            <w:tcBorders>
              <w:top w:val="nil"/>
              <w:left w:val="single" w:color="000000" w:sz="8" w:space="0"/>
              <w:bottom w:val="single" w:color="000000" w:sz="8" w:space="0"/>
              <w:right w:val="single" w:color="000000" w:sz="8" w:space="0"/>
            </w:tcBorders>
            <w:shd w:val="clear" w:color="auto" w:fill="auto"/>
            <w:vAlign w:val="center"/>
          </w:tcPr>
          <w:p w14:paraId="7382B0C3">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可实现边缘算力平台部署：</w:t>
            </w:r>
            <w:r>
              <w:rPr>
                <w:rFonts w:hint="eastAsia" w:ascii="仿宋_GB2312" w:eastAsia="仿宋_GB2312" w:cs="仿宋_GB2312"/>
                <w:color w:val="000000" w:themeColor="text1"/>
                <w:kern w:val="0"/>
                <w:sz w:val="28"/>
                <w:szCs w:val="28"/>
                <w:highlight w:val="none"/>
                <w:lang w:bidi="ar"/>
                <w14:textFill>
                  <w14:solidFill>
                    <w14:schemeClr w14:val="tx1"/>
                  </w14:solidFill>
                </w14:textFill>
              </w:rPr>
              <w:t>12TOPS及以上，内存32G及以上，数据存储4T，</w:t>
            </w:r>
            <w:r>
              <w:rPr>
                <w:rFonts w:hint="eastAsia" w:ascii="仿宋_GB2312" w:eastAsia="仿宋_GB2312" w:cs="仿宋_GB2312"/>
                <w:color w:val="000000" w:themeColor="text1"/>
                <w:kern w:val="0"/>
                <w:sz w:val="28"/>
                <w:szCs w:val="28"/>
                <w:highlight w:val="none"/>
                <w:lang w:bidi="ar"/>
                <w14:textFill>
                  <w14:solidFill>
                    <w14:schemeClr w14:val="tx1"/>
                  </w14:solidFill>
                </w14:textFill>
              </w:rPr>
              <w:t>支持算力扩展</w:t>
            </w:r>
          </w:p>
        </w:tc>
      </w:tr>
      <w:tr w14:paraId="58FD0F76">
        <w:tblPrEx>
          <w:tblCellMar>
            <w:top w:w="0" w:type="dxa"/>
            <w:left w:w="108" w:type="dxa"/>
            <w:bottom w:w="0" w:type="dxa"/>
            <w:right w:w="108" w:type="dxa"/>
          </w:tblCellMar>
        </w:tblPrEx>
        <w:trPr>
          <w:trHeight w:val="365" w:hRule="atLeast"/>
        </w:trPr>
        <w:tc>
          <w:tcPr>
            <w:tcW w:w="1474" w:type="dxa"/>
            <w:vMerge w:val="restart"/>
            <w:tcBorders>
              <w:top w:val="nil"/>
              <w:left w:val="single" w:color="000000" w:sz="8" w:space="0"/>
              <w:bottom w:val="single" w:color="000000" w:sz="8" w:space="0"/>
              <w:right w:val="single" w:color="000000" w:sz="8" w:space="0"/>
            </w:tcBorders>
            <w:shd w:val="clear" w:color="auto" w:fill="auto"/>
            <w:vAlign w:val="center"/>
          </w:tcPr>
          <w:p w14:paraId="6A9896CF">
            <w:pPr>
              <w:widowControl/>
              <w:jc w:val="center"/>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接口</w:t>
            </w:r>
          </w:p>
        </w:tc>
        <w:tc>
          <w:tcPr>
            <w:tcW w:w="6910" w:type="dxa"/>
            <w:tcBorders>
              <w:top w:val="nil"/>
              <w:left w:val="single" w:color="000000" w:sz="8" w:space="0"/>
              <w:bottom w:val="single" w:color="000000" w:sz="8" w:space="0"/>
              <w:right w:val="single" w:color="000000" w:sz="8" w:space="0"/>
            </w:tcBorders>
            <w:shd w:val="clear" w:color="auto" w:fill="auto"/>
          </w:tcPr>
          <w:p w14:paraId="5414FCB7">
            <w:pPr>
              <w:widowControl/>
              <w:textAlignment w:val="top"/>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支持4G管理模组进行远程管理</w:t>
            </w:r>
          </w:p>
        </w:tc>
      </w:tr>
      <w:tr w14:paraId="34F60E73">
        <w:tblPrEx>
          <w:tblCellMar>
            <w:top w:w="0" w:type="dxa"/>
            <w:left w:w="108" w:type="dxa"/>
            <w:bottom w:w="0" w:type="dxa"/>
            <w:right w:w="108" w:type="dxa"/>
          </w:tblCellMar>
        </w:tblPrEx>
        <w:trPr>
          <w:trHeight w:val="365" w:hRule="atLeast"/>
        </w:trPr>
        <w:tc>
          <w:tcPr>
            <w:tcW w:w="1474" w:type="dxa"/>
            <w:vMerge w:val="continue"/>
            <w:tcBorders>
              <w:top w:val="nil"/>
              <w:left w:val="single" w:color="000000" w:sz="8" w:space="0"/>
              <w:bottom w:val="single" w:color="000000" w:sz="8" w:space="0"/>
              <w:right w:val="single" w:color="000000" w:sz="8" w:space="0"/>
            </w:tcBorders>
            <w:shd w:val="clear" w:color="auto" w:fill="auto"/>
            <w:vAlign w:val="center"/>
          </w:tcPr>
          <w:p w14:paraId="21DB8A80">
            <w:pPr>
              <w:jc w:val="cente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vAlign w:val="center"/>
          </w:tcPr>
          <w:p w14:paraId="619CAB26">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一个USB接口</w:t>
            </w:r>
          </w:p>
        </w:tc>
      </w:tr>
      <w:tr w14:paraId="17859F12">
        <w:tblPrEx>
          <w:tblCellMar>
            <w:top w:w="0" w:type="dxa"/>
            <w:left w:w="108" w:type="dxa"/>
            <w:bottom w:w="0" w:type="dxa"/>
            <w:right w:w="108" w:type="dxa"/>
          </w:tblCellMar>
        </w:tblPrEx>
        <w:trPr>
          <w:trHeight w:val="365" w:hRule="atLeast"/>
        </w:trPr>
        <w:tc>
          <w:tcPr>
            <w:tcW w:w="1474" w:type="dxa"/>
            <w:vMerge w:val="continue"/>
            <w:tcBorders>
              <w:top w:val="nil"/>
              <w:left w:val="single" w:color="000000" w:sz="8" w:space="0"/>
              <w:bottom w:val="single" w:color="000000" w:sz="8" w:space="0"/>
              <w:right w:val="single" w:color="000000" w:sz="8" w:space="0"/>
            </w:tcBorders>
            <w:shd w:val="clear" w:color="auto" w:fill="auto"/>
            <w:vAlign w:val="center"/>
          </w:tcPr>
          <w:p w14:paraId="52797FD5">
            <w:pPr>
              <w:jc w:val="cente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vAlign w:val="center"/>
          </w:tcPr>
          <w:p w14:paraId="5A029217">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天线接口：2个</w:t>
            </w:r>
          </w:p>
        </w:tc>
      </w:tr>
      <w:tr w14:paraId="2F7EEFCA">
        <w:tblPrEx>
          <w:tblCellMar>
            <w:top w:w="0" w:type="dxa"/>
            <w:left w:w="108" w:type="dxa"/>
            <w:bottom w:w="0" w:type="dxa"/>
            <w:right w:w="108" w:type="dxa"/>
          </w:tblCellMar>
        </w:tblPrEx>
        <w:trPr>
          <w:trHeight w:val="380" w:hRule="atLeast"/>
        </w:trPr>
        <w:tc>
          <w:tcPr>
            <w:tcW w:w="1474" w:type="dxa"/>
            <w:vMerge w:val="continue"/>
            <w:tcBorders>
              <w:top w:val="nil"/>
              <w:left w:val="single" w:color="000000" w:sz="8" w:space="0"/>
              <w:bottom w:val="single" w:color="000000" w:sz="8" w:space="0"/>
              <w:right w:val="single" w:color="000000" w:sz="8" w:space="0"/>
            </w:tcBorders>
            <w:shd w:val="clear" w:color="auto" w:fill="auto"/>
            <w:vAlign w:val="center"/>
          </w:tcPr>
          <w:p w14:paraId="0B6B65FE">
            <w:pPr>
              <w:jc w:val="cente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vAlign w:val="center"/>
          </w:tcPr>
          <w:p w14:paraId="2046D388">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GPS接口：1个</w:t>
            </w:r>
          </w:p>
        </w:tc>
      </w:tr>
      <w:tr w14:paraId="55E08A52">
        <w:tblPrEx>
          <w:tblCellMar>
            <w:top w:w="0" w:type="dxa"/>
            <w:left w:w="108" w:type="dxa"/>
            <w:bottom w:w="0" w:type="dxa"/>
            <w:right w:w="108" w:type="dxa"/>
          </w:tblCellMar>
        </w:tblPrEx>
        <w:trPr>
          <w:trHeight w:val="365" w:hRule="atLeast"/>
        </w:trPr>
        <w:tc>
          <w:tcPr>
            <w:tcW w:w="1474" w:type="dxa"/>
            <w:vMerge w:val="continue"/>
            <w:tcBorders>
              <w:top w:val="nil"/>
              <w:left w:val="single" w:color="000000" w:sz="8" w:space="0"/>
              <w:bottom w:val="single" w:color="000000" w:sz="8" w:space="0"/>
              <w:right w:val="single" w:color="000000" w:sz="8" w:space="0"/>
            </w:tcBorders>
            <w:shd w:val="clear" w:color="auto" w:fill="auto"/>
            <w:vAlign w:val="center"/>
          </w:tcPr>
          <w:p w14:paraId="12E2BE84">
            <w:pPr>
              <w:jc w:val="cente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vAlign w:val="center"/>
          </w:tcPr>
          <w:p w14:paraId="605580D7">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4G管理模组天线口：1个</w:t>
            </w:r>
          </w:p>
        </w:tc>
      </w:tr>
      <w:tr w14:paraId="790B4170">
        <w:tblPrEx>
          <w:tblCellMar>
            <w:top w:w="0" w:type="dxa"/>
            <w:left w:w="108" w:type="dxa"/>
            <w:bottom w:w="0" w:type="dxa"/>
            <w:right w:w="108" w:type="dxa"/>
          </w:tblCellMar>
        </w:tblPrEx>
        <w:trPr>
          <w:trHeight w:val="715" w:hRule="atLeast"/>
        </w:trPr>
        <w:tc>
          <w:tcPr>
            <w:tcW w:w="1474" w:type="dxa"/>
            <w:vMerge w:val="continue"/>
            <w:tcBorders>
              <w:top w:val="nil"/>
              <w:left w:val="single" w:color="000000" w:sz="8" w:space="0"/>
              <w:bottom w:val="single" w:color="000000" w:sz="8" w:space="0"/>
              <w:right w:val="single" w:color="000000" w:sz="8" w:space="0"/>
            </w:tcBorders>
            <w:shd w:val="clear" w:color="auto" w:fill="auto"/>
            <w:vAlign w:val="center"/>
          </w:tcPr>
          <w:p w14:paraId="1AD8C233">
            <w:pPr>
              <w:jc w:val="cente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vAlign w:val="center"/>
          </w:tcPr>
          <w:p w14:paraId="7F47B120">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电源接口：支持交流220V供电（无需外接AC/DC转换器），电压范围</w:t>
            </w:r>
            <w:r>
              <w:rPr>
                <w:rStyle w:val="38"/>
                <w:rFonts w:hint="default"/>
                <w:color w:val="000000" w:themeColor="text1"/>
                <w:highlight w:val="none"/>
                <w:lang w:bidi="ar"/>
                <w14:textFill>
                  <w14:solidFill>
                    <w14:schemeClr w14:val="tx1"/>
                  </w14:solidFill>
                </w14:textFill>
              </w:rPr>
              <w:t>176V-264VAC</w:t>
            </w:r>
            <w:r>
              <w:rPr>
                <w:rStyle w:val="37"/>
                <w:rFonts w:hint="default"/>
                <w:color w:val="000000" w:themeColor="text1"/>
                <w:highlight w:val="none"/>
                <w:lang w:bidi="ar"/>
                <w14:textFill>
                  <w14:solidFill>
                    <w14:schemeClr w14:val="tx1"/>
                  </w14:solidFill>
                </w14:textFill>
              </w:rPr>
              <w:t>，频率变化范围45Hz～65Hz，内置AC模块</w:t>
            </w:r>
          </w:p>
        </w:tc>
      </w:tr>
      <w:tr w14:paraId="48952BB6">
        <w:tblPrEx>
          <w:tblCellMar>
            <w:top w:w="0" w:type="dxa"/>
            <w:left w:w="108" w:type="dxa"/>
            <w:bottom w:w="0" w:type="dxa"/>
            <w:right w:w="108" w:type="dxa"/>
          </w:tblCellMar>
        </w:tblPrEx>
        <w:trPr>
          <w:trHeight w:val="420" w:hRule="atLeast"/>
        </w:trPr>
        <w:tc>
          <w:tcPr>
            <w:tcW w:w="1474" w:type="dxa"/>
            <w:vMerge w:val="continue"/>
            <w:tcBorders>
              <w:top w:val="nil"/>
              <w:left w:val="single" w:color="000000" w:sz="8" w:space="0"/>
              <w:bottom w:val="single" w:color="000000" w:sz="8" w:space="0"/>
              <w:right w:val="single" w:color="000000" w:sz="8" w:space="0"/>
            </w:tcBorders>
            <w:shd w:val="clear" w:color="auto" w:fill="auto"/>
            <w:vAlign w:val="center"/>
          </w:tcPr>
          <w:p w14:paraId="57DB6747">
            <w:pPr>
              <w:jc w:val="cente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vAlign w:val="center"/>
          </w:tcPr>
          <w:p w14:paraId="5833B403">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回传接口2个，支持1G</w:t>
            </w:r>
          </w:p>
        </w:tc>
      </w:tr>
      <w:tr w14:paraId="14CCAE42">
        <w:tblPrEx>
          <w:tblCellMar>
            <w:top w:w="0" w:type="dxa"/>
            <w:left w:w="108" w:type="dxa"/>
            <w:bottom w:w="0" w:type="dxa"/>
            <w:right w:w="108" w:type="dxa"/>
          </w:tblCellMar>
        </w:tblPrEx>
        <w:trPr>
          <w:trHeight w:val="365" w:hRule="atLeast"/>
        </w:trPr>
        <w:tc>
          <w:tcPr>
            <w:tcW w:w="1474" w:type="dxa"/>
            <w:vMerge w:val="continue"/>
            <w:tcBorders>
              <w:top w:val="nil"/>
              <w:left w:val="single" w:color="000000" w:sz="8" w:space="0"/>
              <w:bottom w:val="single" w:color="000000" w:sz="8" w:space="0"/>
              <w:right w:val="single" w:color="000000" w:sz="8" w:space="0"/>
            </w:tcBorders>
            <w:shd w:val="clear" w:color="auto" w:fill="auto"/>
            <w:vAlign w:val="center"/>
          </w:tcPr>
          <w:p w14:paraId="03337855">
            <w:pPr>
              <w:jc w:val="cente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vAlign w:val="center"/>
          </w:tcPr>
          <w:p w14:paraId="0E0DBD21">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2x10GE、2xGE</w:t>
            </w:r>
          </w:p>
        </w:tc>
      </w:tr>
      <w:tr w14:paraId="28E9E6CF">
        <w:tblPrEx>
          <w:tblCellMar>
            <w:top w:w="0" w:type="dxa"/>
            <w:left w:w="108" w:type="dxa"/>
            <w:bottom w:w="0" w:type="dxa"/>
            <w:right w:w="108" w:type="dxa"/>
          </w:tblCellMar>
        </w:tblPrEx>
        <w:trPr>
          <w:trHeight w:val="420" w:hRule="atLeast"/>
        </w:trPr>
        <w:tc>
          <w:tcPr>
            <w:tcW w:w="1474" w:type="dxa"/>
            <w:vMerge w:val="continue"/>
            <w:tcBorders>
              <w:top w:val="nil"/>
              <w:left w:val="single" w:color="000000" w:sz="8" w:space="0"/>
              <w:bottom w:val="single" w:color="000000" w:sz="8" w:space="0"/>
              <w:right w:val="single" w:color="000000" w:sz="8" w:space="0"/>
            </w:tcBorders>
            <w:shd w:val="clear" w:color="auto" w:fill="auto"/>
            <w:vAlign w:val="center"/>
          </w:tcPr>
          <w:p w14:paraId="2F9B9E9D">
            <w:pPr>
              <w:jc w:val="cente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vAlign w:val="center"/>
          </w:tcPr>
          <w:p w14:paraId="52819604">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面板指示灯</w:t>
            </w:r>
          </w:p>
        </w:tc>
      </w:tr>
      <w:tr w14:paraId="08E31D82">
        <w:tblPrEx>
          <w:tblCellMar>
            <w:top w:w="0" w:type="dxa"/>
            <w:left w:w="108" w:type="dxa"/>
            <w:bottom w:w="0" w:type="dxa"/>
            <w:right w:w="108" w:type="dxa"/>
          </w:tblCellMar>
        </w:tblPrEx>
        <w:trPr>
          <w:trHeight w:val="365" w:hRule="atLeast"/>
        </w:trPr>
        <w:tc>
          <w:tcPr>
            <w:tcW w:w="1474" w:type="dxa"/>
            <w:tcBorders>
              <w:top w:val="nil"/>
              <w:left w:val="single" w:color="000000" w:sz="8" w:space="0"/>
              <w:bottom w:val="single" w:color="000000" w:sz="8" w:space="0"/>
              <w:right w:val="single" w:color="000000" w:sz="8" w:space="0"/>
            </w:tcBorders>
            <w:shd w:val="clear" w:color="auto" w:fill="auto"/>
            <w:vAlign w:val="center"/>
          </w:tcPr>
          <w:p w14:paraId="3F11818A">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同步方式</w:t>
            </w:r>
          </w:p>
        </w:tc>
        <w:tc>
          <w:tcPr>
            <w:tcW w:w="6910" w:type="dxa"/>
            <w:tcBorders>
              <w:top w:val="nil"/>
              <w:left w:val="single" w:color="000000" w:sz="8" w:space="0"/>
              <w:bottom w:val="single" w:color="000000" w:sz="8" w:space="0"/>
              <w:right w:val="single" w:color="000000" w:sz="8" w:space="0"/>
            </w:tcBorders>
            <w:shd w:val="clear" w:color="auto" w:fill="auto"/>
            <w:vAlign w:val="center"/>
          </w:tcPr>
          <w:p w14:paraId="3F46CC41">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GPS和北斗</w:t>
            </w:r>
          </w:p>
        </w:tc>
      </w:tr>
      <w:tr w14:paraId="79AB2290">
        <w:tblPrEx>
          <w:tblCellMar>
            <w:top w:w="0" w:type="dxa"/>
            <w:left w:w="108" w:type="dxa"/>
            <w:bottom w:w="0" w:type="dxa"/>
            <w:right w:w="108" w:type="dxa"/>
          </w:tblCellMar>
        </w:tblPrEx>
        <w:trPr>
          <w:trHeight w:val="420" w:hRule="atLeast"/>
        </w:trPr>
        <w:tc>
          <w:tcPr>
            <w:tcW w:w="1474" w:type="dxa"/>
            <w:vMerge w:val="restart"/>
            <w:tcBorders>
              <w:top w:val="nil"/>
              <w:left w:val="single" w:color="000000" w:sz="8" w:space="0"/>
              <w:bottom w:val="single" w:color="000000" w:sz="8" w:space="0"/>
              <w:right w:val="single" w:color="000000" w:sz="8" w:space="0"/>
            </w:tcBorders>
            <w:shd w:val="clear" w:color="auto" w:fill="auto"/>
            <w:vAlign w:val="center"/>
          </w:tcPr>
          <w:p w14:paraId="6C2E90E6">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安全指标</w:t>
            </w:r>
          </w:p>
        </w:tc>
        <w:tc>
          <w:tcPr>
            <w:tcW w:w="6910" w:type="dxa"/>
            <w:tcBorders>
              <w:top w:val="nil"/>
              <w:left w:val="single" w:color="000000" w:sz="8" w:space="0"/>
              <w:bottom w:val="single" w:color="000000" w:sz="8" w:space="0"/>
              <w:right w:val="single" w:color="000000" w:sz="8" w:space="0"/>
            </w:tcBorders>
            <w:shd w:val="clear" w:color="auto" w:fill="auto"/>
            <w:vAlign w:val="center"/>
          </w:tcPr>
          <w:p w14:paraId="018A6D4A">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系统支持7*24小时</w:t>
            </w:r>
          </w:p>
        </w:tc>
      </w:tr>
      <w:tr w14:paraId="621CD57C">
        <w:tblPrEx>
          <w:tblCellMar>
            <w:top w:w="0" w:type="dxa"/>
            <w:left w:w="108" w:type="dxa"/>
            <w:bottom w:w="0" w:type="dxa"/>
            <w:right w:w="108" w:type="dxa"/>
          </w:tblCellMar>
        </w:tblPrEx>
        <w:trPr>
          <w:trHeight w:val="420" w:hRule="atLeast"/>
        </w:trPr>
        <w:tc>
          <w:tcPr>
            <w:tcW w:w="1474" w:type="dxa"/>
            <w:vMerge w:val="continue"/>
            <w:tcBorders>
              <w:top w:val="nil"/>
              <w:left w:val="single" w:color="000000" w:sz="8" w:space="0"/>
              <w:bottom w:val="single" w:color="000000" w:sz="8" w:space="0"/>
              <w:right w:val="single" w:color="000000" w:sz="8" w:space="0"/>
            </w:tcBorders>
            <w:shd w:val="clear" w:color="auto" w:fill="auto"/>
            <w:vAlign w:val="center"/>
          </w:tcPr>
          <w:p w14:paraId="4D372569">
            <w:pPr>
              <w:rPr>
                <w:rFonts w:ascii="仿宋_GB2312" w:eastAsia="仿宋_GB2312" w:cs="仿宋_GB2312"/>
                <w:color w:val="000000" w:themeColor="text1"/>
                <w:sz w:val="28"/>
                <w:szCs w:val="28"/>
                <w:highlight w:val="none"/>
                <w14:textFill>
                  <w14:solidFill>
                    <w14:schemeClr w14:val="tx1"/>
                  </w14:solidFill>
                </w14:textFill>
              </w:rPr>
            </w:pPr>
          </w:p>
        </w:tc>
        <w:tc>
          <w:tcPr>
            <w:tcW w:w="6910" w:type="dxa"/>
            <w:tcBorders>
              <w:top w:val="nil"/>
              <w:left w:val="single" w:color="000000" w:sz="8" w:space="0"/>
              <w:bottom w:val="single" w:color="000000" w:sz="8" w:space="0"/>
              <w:right w:val="single" w:color="000000" w:sz="8" w:space="0"/>
            </w:tcBorders>
            <w:shd w:val="clear" w:color="auto" w:fill="auto"/>
            <w:vAlign w:val="center"/>
          </w:tcPr>
          <w:p w14:paraId="1BE9593C">
            <w:pPr>
              <w:widowControl/>
              <w:textAlignment w:val="center"/>
              <w:rPr>
                <w:rFonts w:ascii="仿宋_GB2312" w:eastAsia="仿宋_GB2312" w:cs="仿宋_GB2312"/>
                <w:color w:val="000000" w:themeColor="text1"/>
                <w:sz w:val="28"/>
                <w:szCs w:val="28"/>
                <w:highlight w:val="none"/>
                <w14:textFill>
                  <w14:solidFill>
                    <w14:schemeClr w14:val="tx1"/>
                  </w14:solidFill>
                </w14:textFill>
              </w:rPr>
            </w:pPr>
            <w:r>
              <w:rPr>
                <w:rFonts w:hint="eastAsia" w:ascii="仿宋_GB2312" w:eastAsia="仿宋_GB2312" w:cs="仿宋_GB2312"/>
                <w:color w:val="000000" w:themeColor="text1"/>
                <w:kern w:val="0"/>
                <w:sz w:val="28"/>
                <w:szCs w:val="28"/>
                <w:highlight w:val="none"/>
                <w:lang w:bidi="ar"/>
                <w14:textFill>
                  <w14:solidFill>
                    <w14:schemeClr w14:val="tx1"/>
                  </w14:solidFill>
                </w14:textFill>
              </w:rPr>
              <w:t>任何条件下设备防护等级IP65</w:t>
            </w:r>
          </w:p>
        </w:tc>
      </w:tr>
    </w:tbl>
    <w:p w14:paraId="237A35D9">
      <w:pPr>
        <w:rPr>
          <w:color w:val="000000" w:themeColor="text1"/>
          <w:highlight w:val="none"/>
          <w14:textFill>
            <w14:solidFill>
              <w14:schemeClr w14:val="tx1"/>
            </w14:solidFill>
          </w14:textFill>
        </w:rPr>
      </w:pPr>
    </w:p>
    <w:p w14:paraId="71F001F3">
      <w:pPr>
        <w:pStyle w:val="2"/>
        <w:spacing w:line="276" w:lineRule="auto"/>
        <w:rPr>
          <w:rFonts w:ascii="仿宋_GB2312" w:hAnsi="仿宋_GB2312" w:cs="仿宋_GB2312"/>
          <w:bCs/>
          <w:color w:val="000000" w:themeColor="text1"/>
          <w:szCs w:val="28"/>
          <w:highlight w:val="none"/>
          <w14:textFill>
            <w14:solidFill>
              <w14:schemeClr w14:val="tx1"/>
            </w14:solidFill>
          </w14:textFill>
        </w:rPr>
      </w:pPr>
      <w:bookmarkStart w:id="51" w:name="_Toc24745"/>
      <w:bookmarkStart w:id="52" w:name="_Toc11834"/>
      <w:bookmarkStart w:id="53" w:name="_Toc28370"/>
      <w:bookmarkStart w:id="54" w:name="_Toc22273"/>
      <w:bookmarkStart w:id="55" w:name="_Toc29124"/>
      <w:r>
        <w:rPr>
          <w:rFonts w:hint="eastAsia" w:ascii="仿宋_GB2312" w:hAnsi="仿宋_GB2312" w:cs="仿宋_GB2312"/>
          <w:bCs/>
          <w:color w:val="000000" w:themeColor="text1"/>
          <w:szCs w:val="28"/>
          <w:highlight w:val="none"/>
          <w14:textFill>
            <w14:solidFill>
              <w14:schemeClr w14:val="tx1"/>
            </w14:solidFill>
          </w14:textFill>
        </w:rPr>
        <w:t>供货要求</w:t>
      </w:r>
      <w:bookmarkEnd w:id="51"/>
      <w:bookmarkEnd w:id="52"/>
      <w:bookmarkEnd w:id="53"/>
      <w:bookmarkEnd w:id="54"/>
      <w:bookmarkEnd w:id="55"/>
    </w:p>
    <w:p w14:paraId="38A49F33">
      <w:pPr>
        <w:pStyle w:val="3"/>
        <w:tabs>
          <w:tab w:val="left" w:pos="170"/>
          <w:tab w:val="left" w:pos="576"/>
        </w:tabs>
        <w:autoSpaceDE w:val="0"/>
        <w:autoSpaceDN w:val="0"/>
        <w:snapToGrid/>
        <w:spacing w:before="156" w:beforeLines="0" w:after="156" w:afterLines="0" w:line="276" w:lineRule="auto"/>
        <w:ind w:left="709"/>
        <w:jc w:val="left"/>
        <w:rPr>
          <w:rFonts w:ascii="仿宋_GB2312" w:hAnsi="仿宋_GB2312" w:cs="仿宋_GB2312"/>
          <w:color w:val="000000" w:themeColor="text1"/>
          <w:sz w:val="28"/>
          <w:szCs w:val="28"/>
          <w:highlight w:val="none"/>
          <w14:textFill>
            <w14:solidFill>
              <w14:schemeClr w14:val="tx1"/>
            </w14:solidFill>
          </w14:textFill>
        </w:rPr>
      </w:pPr>
      <w:bookmarkStart w:id="56" w:name="_Toc148348874"/>
      <w:bookmarkStart w:id="57" w:name="_Toc32418"/>
      <w:bookmarkStart w:id="58" w:name="_Toc8832"/>
      <w:bookmarkStart w:id="59" w:name="_Toc167698320"/>
      <w:bookmarkStart w:id="60" w:name="_Toc12123"/>
      <w:bookmarkStart w:id="61" w:name="_Toc2661"/>
      <w:bookmarkStart w:id="62" w:name="_Toc9109"/>
      <w:r>
        <w:rPr>
          <w:rFonts w:hint="eastAsia" w:ascii="仿宋_GB2312" w:hAnsi="仿宋_GB2312" w:cs="仿宋_GB2312"/>
          <w:color w:val="000000" w:themeColor="text1"/>
          <w:sz w:val="28"/>
          <w:szCs w:val="28"/>
          <w:highlight w:val="none"/>
          <w14:textFill>
            <w14:solidFill>
              <w14:schemeClr w14:val="tx1"/>
            </w14:solidFill>
          </w14:textFill>
        </w:rPr>
        <w:t>产品供应</w:t>
      </w:r>
      <w:bookmarkEnd w:id="56"/>
      <w:bookmarkEnd w:id="57"/>
      <w:bookmarkEnd w:id="58"/>
      <w:bookmarkEnd w:id="59"/>
      <w:bookmarkEnd w:id="60"/>
      <w:bookmarkEnd w:id="61"/>
    </w:p>
    <w:p w14:paraId="0DA1C9E8">
      <w:pPr>
        <w:pStyle w:val="35"/>
        <w:spacing w:line="276" w:lineRule="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由</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w:t>
      </w:r>
      <w:r>
        <w:rPr>
          <w:rFonts w:hint="eastAsia" w:ascii="仿宋_GB2312" w:hAnsi="仿宋_GB2312" w:eastAsia="仿宋_GB2312" w:cs="仿宋_GB2312"/>
          <w:color w:val="000000" w:themeColor="text1"/>
          <w:sz w:val="28"/>
          <w:szCs w:val="28"/>
          <w:highlight w:val="none"/>
          <w14:textFill>
            <w14:solidFill>
              <w14:schemeClr w14:val="tx1"/>
            </w14:solidFill>
          </w14:textFill>
        </w:rPr>
        <w:t>方提供的所有设备和材料需在没有任何损坏和腐蚀的情况下安全运抵合同中规定的安装地点。若包装无法防止运输、装卸过程中垂直、水平加速度引起的设备损坏，</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w:t>
      </w:r>
      <w:r>
        <w:rPr>
          <w:rFonts w:hint="eastAsia" w:ascii="仿宋_GB2312" w:hAnsi="仿宋_GB2312" w:eastAsia="仿宋_GB2312" w:cs="仿宋_GB2312"/>
          <w:color w:val="000000" w:themeColor="text1"/>
          <w:sz w:val="28"/>
          <w:szCs w:val="28"/>
          <w:highlight w:val="none"/>
          <w14:textFill>
            <w14:solidFill>
              <w14:schemeClr w14:val="tx1"/>
            </w14:solidFill>
          </w14:textFill>
        </w:rPr>
        <w:t>方人要在设备的设计结构上予以解决。包装应按设备特点，按需要分别加上防潮、防霉、防锈、防腐蚀的保护措施，以保证货物在没有任何损坏和腐蚀的情况下安全运抵合同中规定的安装地点。</w:t>
      </w:r>
    </w:p>
    <w:p w14:paraId="1101E370">
      <w:pPr>
        <w:pStyle w:val="3"/>
        <w:tabs>
          <w:tab w:val="left" w:pos="170"/>
          <w:tab w:val="left" w:pos="576"/>
        </w:tabs>
        <w:autoSpaceDE w:val="0"/>
        <w:autoSpaceDN w:val="0"/>
        <w:snapToGrid/>
        <w:spacing w:before="156" w:beforeLines="0" w:after="156" w:afterLines="0" w:line="276" w:lineRule="auto"/>
        <w:ind w:left="709"/>
        <w:jc w:val="left"/>
        <w:rPr>
          <w:rFonts w:ascii="仿宋_GB2312" w:hAnsi="仿宋_GB2312" w:cs="仿宋_GB2312"/>
          <w:color w:val="000000" w:themeColor="text1"/>
          <w:sz w:val="28"/>
          <w:szCs w:val="28"/>
          <w:highlight w:val="none"/>
          <w14:textFill>
            <w14:solidFill>
              <w14:schemeClr w14:val="tx1"/>
            </w14:solidFill>
          </w14:textFill>
        </w:rPr>
      </w:pPr>
      <w:bookmarkStart w:id="63" w:name="_Toc148348875"/>
      <w:bookmarkStart w:id="64" w:name="_Toc167698321"/>
      <w:bookmarkStart w:id="65" w:name="_Toc26939"/>
      <w:bookmarkStart w:id="66" w:name="_Toc241"/>
      <w:bookmarkStart w:id="67" w:name="_Toc10699"/>
      <w:bookmarkStart w:id="68" w:name="_Toc29990"/>
      <w:r>
        <w:rPr>
          <w:rFonts w:hint="eastAsia" w:ascii="仿宋_GB2312" w:hAnsi="仿宋_GB2312" w:cs="仿宋_GB2312"/>
          <w:color w:val="000000" w:themeColor="text1"/>
          <w:sz w:val="28"/>
          <w:szCs w:val="28"/>
          <w:highlight w:val="none"/>
          <w14:textFill>
            <w14:solidFill>
              <w14:schemeClr w14:val="tx1"/>
            </w14:solidFill>
          </w14:textFill>
        </w:rPr>
        <w:t>供货周期</w:t>
      </w:r>
      <w:bookmarkEnd w:id="63"/>
      <w:bookmarkEnd w:id="64"/>
      <w:bookmarkEnd w:id="65"/>
      <w:bookmarkEnd w:id="66"/>
      <w:bookmarkEnd w:id="67"/>
      <w:bookmarkEnd w:id="68"/>
    </w:p>
    <w:p w14:paraId="2965F5A7">
      <w:pPr>
        <w:pStyle w:val="35"/>
        <w:spacing w:line="276" w:lineRule="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★供货周期：从订单下达之日起，30天内（自然日）代工产品到货，质保期内出现非人为故障免费维修或更换。</w:t>
      </w:r>
    </w:p>
    <w:p w14:paraId="787E1A5F">
      <w:pPr>
        <w:pStyle w:val="3"/>
        <w:tabs>
          <w:tab w:val="left" w:pos="170"/>
          <w:tab w:val="left" w:pos="576"/>
        </w:tabs>
        <w:autoSpaceDE w:val="0"/>
        <w:autoSpaceDN w:val="0"/>
        <w:snapToGrid/>
        <w:spacing w:before="156" w:beforeLines="0" w:after="156" w:afterLines="0" w:line="276" w:lineRule="auto"/>
        <w:ind w:left="709"/>
        <w:jc w:val="left"/>
        <w:rPr>
          <w:rFonts w:ascii="仿宋_GB2312" w:hAnsi="仿宋_GB2312" w:cs="仿宋_GB2312"/>
          <w:color w:val="000000" w:themeColor="text1"/>
          <w:sz w:val="28"/>
          <w:szCs w:val="28"/>
          <w:highlight w:val="none"/>
          <w14:textFill>
            <w14:solidFill>
              <w14:schemeClr w14:val="tx1"/>
            </w14:solidFill>
          </w14:textFill>
        </w:rPr>
      </w:pPr>
      <w:bookmarkStart w:id="69" w:name="_Toc22552"/>
      <w:bookmarkStart w:id="70" w:name="_Toc167698322"/>
      <w:bookmarkStart w:id="71" w:name="_Toc148348876"/>
      <w:bookmarkStart w:id="72" w:name="_Toc31923"/>
      <w:bookmarkStart w:id="73" w:name="_Toc24058"/>
      <w:bookmarkStart w:id="74" w:name="_Toc20343"/>
      <w:r>
        <w:rPr>
          <w:rFonts w:hint="eastAsia" w:ascii="仿宋_GB2312" w:hAnsi="仿宋_GB2312" w:cs="仿宋_GB2312"/>
          <w:color w:val="000000" w:themeColor="text1"/>
          <w:sz w:val="28"/>
          <w:szCs w:val="28"/>
          <w:highlight w:val="none"/>
          <w14:textFill>
            <w14:solidFill>
              <w14:schemeClr w14:val="tx1"/>
            </w14:solidFill>
          </w14:textFill>
        </w:rPr>
        <w:t>产品标签标识</w:t>
      </w:r>
      <w:bookmarkEnd w:id="69"/>
      <w:bookmarkEnd w:id="70"/>
      <w:bookmarkEnd w:id="71"/>
      <w:bookmarkEnd w:id="72"/>
      <w:bookmarkEnd w:id="73"/>
      <w:bookmarkEnd w:id="74"/>
    </w:p>
    <w:p w14:paraId="0E2F8A20">
      <w:pPr>
        <w:pStyle w:val="35"/>
        <w:spacing w:line="276" w:lineRule="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设备主机标签内容包含：</w:t>
      </w:r>
      <w:r>
        <w:rPr>
          <w:rFonts w:hint="eastAsia" w:ascii="仿宋_GB2312" w:hAnsi="仿宋_GB2312" w:eastAsia="仿宋_GB2312" w:cs="仿宋_GB2312"/>
          <w:color w:val="000000" w:themeColor="text1"/>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sz w:val="28"/>
          <w:szCs w:val="28"/>
          <w:highlight w:val="none"/>
          <w14:textFill>
            <w14:solidFill>
              <w14:schemeClr w14:val="tx1"/>
            </w14:solidFill>
          </w14:textFill>
        </w:rPr>
        <w:t>人要求的Logo、产品名称、产品型号、制造商、设备序列号、生产日期、工作电压电流等信息等。</w:t>
      </w:r>
    </w:p>
    <w:p w14:paraId="2E096181">
      <w:pPr>
        <w:pStyle w:val="35"/>
        <w:spacing w:line="276" w:lineRule="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单台设备包装箱上标明：产品名称、产品型号、制造商信息。</w:t>
      </w:r>
    </w:p>
    <w:p w14:paraId="5AEC5CD1">
      <w:pPr>
        <w:pStyle w:val="35"/>
        <w:spacing w:line="276" w:lineRule="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单台设备包装箱内需提供：出场检验合格证、包装清单、使用说明书（厂商名称、地址、电话、设备尺寸、线缆长度、按钮介绍、指示灯介绍、接口介绍、FAQ）、售后维修办法及联系方式。</w:t>
      </w:r>
    </w:p>
    <w:p w14:paraId="7B5CAAB5">
      <w:pPr>
        <w:pStyle w:val="3"/>
        <w:tabs>
          <w:tab w:val="left" w:pos="170"/>
          <w:tab w:val="left" w:pos="576"/>
        </w:tabs>
        <w:autoSpaceDE w:val="0"/>
        <w:autoSpaceDN w:val="0"/>
        <w:snapToGrid/>
        <w:spacing w:before="156" w:beforeLines="0" w:after="156" w:afterLines="0" w:line="276" w:lineRule="auto"/>
        <w:ind w:left="709"/>
        <w:jc w:val="left"/>
        <w:rPr>
          <w:rFonts w:ascii="仿宋_GB2312" w:hAnsi="仿宋_GB2312" w:cs="仿宋_GB2312"/>
          <w:color w:val="000000" w:themeColor="text1"/>
          <w:sz w:val="28"/>
          <w:szCs w:val="28"/>
          <w:highlight w:val="none"/>
          <w14:textFill>
            <w14:solidFill>
              <w14:schemeClr w14:val="tx1"/>
            </w14:solidFill>
          </w14:textFill>
        </w:rPr>
      </w:pPr>
      <w:bookmarkStart w:id="75" w:name="_Toc19955"/>
      <w:bookmarkStart w:id="76" w:name="_Toc148348877"/>
      <w:bookmarkStart w:id="77" w:name="_Toc7129"/>
      <w:bookmarkStart w:id="78" w:name="_Toc167698323"/>
      <w:bookmarkStart w:id="79" w:name="_Toc13354"/>
      <w:bookmarkStart w:id="80" w:name="_Toc7020"/>
      <w:r>
        <w:rPr>
          <w:rFonts w:hint="eastAsia" w:ascii="仿宋_GB2312" w:hAnsi="仿宋_GB2312" w:cs="仿宋_GB2312"/>
          <w:color w:val="000000" w:themeColor="text1"/>
          <w:sz w:val="28"/>
          <w:szCs w:val="28"/>
          <w:highlight w:val="none"/>
          <w14:textFill>
            <w14:solidFill>
              <w14:schemeClr w14:val="tx1"/>
            </w14:solidFill>
          </w14:textFill>
        </w:rPr>
        <w:t>到货验收</w:t>
      </w:r>
      <w:bookmarkEnd w:id="75"/>
      <w:bookmarkEnd w:id="76"/>
      <w:bookmarkEnd w:id="77"/>
      <w:bookmarkEnd w:id="78"/>
      <w:bookmarkEnd w:id="79"/>
      <w:bookmarkEnd w:id="80"/>
    </w:p>
    <w:p w14:paraId="795D6FC6">
      <w:pPr>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设备数量的验收在采购人指定的收货地点进行，设备运抵指定收货现场后，采购人收货时如发现短缺、破损，现场拍摄照片，联系</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投标</w:t>
      </w:r>
      <w:r>
        <w:rPr>
          <w:rFonts w:hint="eastAsia" w:ascii="仿宋_GB2312" w:hAnsi="仿宋_GB2312" w:eastAsia="仿宋_GB2312" w:cs="仿宋_GB2312"/>
          <w:color w:val="000000" w:themeColor="text1"/>
          <w:sz w:val="28"/>
          <w:szCs w:val="28"/>
          <w:highlight w:val="none"/>
          <w14:textFill>
            <w14:solidFill>
              <w14:schemeClr w14:val="tx1"/>
            </w14:solidFill>
          </w14:textFill>
        </w:rPr>
        <w:t>方</w:t>
      </w:r>
      <w:r>
        <w:rPr>
          <w:rFonts w:hint="eastAsia" w:ascii="仿宋_GB2312" w:hAnsi="仿宋_GB2312" w:eastAsia="仿宋_GB2312" w:cs="仿宋_GB2312"/>
          <w:color w:val="000000" w:themeColor="text1"/>
          <w:sz w:val="28"/>
          <w:szCs w:val="28"/>
          <w:highlight w:val="none"/>
          <w14:textFill>
            <w14:solidFill>
              <w14:schemeClr w14:val="tx1"/>
            </w14:solidFill>
          </w14:textFill>
        </w:rPr>
        <w:t>确认后，采购人有权要求</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投标</w:t>
      </w:r>
      <w:r>
        <w:rPr>
          <w:rFonts w:hint="eastAsia" w:ascii="仿宋_GB2312" w:hAnsi="仿宋_GB2312" w:eastAsia="仿宋_GB2312" w:cs="仿宋_GB2312"/>
          <w:color w:val="000000" w:themeColor="text1"/>
          <w:sz w:val="28"/>
          <w:szCs w:val="28"/>
          <w:highlight w:val="none"/>
          <w14:textFill>
            <w14:solidFill>
              <w14:schemeClr w14:val="tx1"/>
            </w14:solidFill>
          </w14:textFill>
        </w:rPr>
        <w:t>方</w:t>
      </w:r>
      <w:r>
        <w:rPr>
          <w:rFonts w:hint="eastAsia" w:ascii="仿宋_GB2312" w:hAnsi="仿宋_GB2312" w:eastAsia="仿宋_GB2312" w:cs="仿宋_GB2312"/>
          <w:color w:val="000000" w:themeColor="text1"/>
          <w:sz w:val="28"/>
          <w:szCs w:val="28"/>
          <w:highlight w:val="none"/>
          <w14:textFill>
            <w14:solidFill>
              <w14:schemeClr w14:val="tx1"/>
            </w14:solidFill>
          </w14:textFill>
        </w:rPr>
        <w:t>立即补发和负责更换。</w:t>
      </w:r>
    </w:p>
    <w:p w14:paraId="7D229A3C">
      <w:pPr>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sz w:val="28"/>
          <w:szCs w:val="28"/>
          <w:highlight w:val="none"/>
          <w14:textFill>
            <w14:solidFill>
              <w14:schemeClr w14:val="tx1"/>
            </w14:solidFill>
          </w14:textFill>
        </w:rPr>
        <w:t>人收货时按照10%的比例抽检，抽检指标包括功能（语音、速率），射频性能指标（下行最大发射功率、下行EVM、下行ACLR、上行静态灵敏度）。</w:t>
      </w:r>
    </w:p>
    <w:bookmarkEnd w:id="62"/>
    <w:p w14:paraId="10943ABE">
      <w:pPr>
        <w:pStyle w:val="2"/>
        <w:keepLines w:val="0"/>
        <w:widowControl/>
        <w:tabs>
          <w:tab w:val="left" w:pos="170"/>
        </w:tabs>
        <w:spacing w:before="0" w:after="0" w:line="276" w:lineRule="auto"/>
        <w:jc w:val="left"/>
        <w:rPr>
          <w:rFonts w:ascii="仿宋_GB2312" w:hAnsi="仿宋_GB2312" w:cs="仿宋_GB2312"/>
          <w:color w:val="000000" w:themeColor="text1"/>
          <w:szCs w:val="28"/>
          <w:highlight w:val="none"/>
          <w14:textFill>
            <w14:solidFill>
              <w14:schemeClr w14:val="tx1"/>
            </w14:solidFill>
          </w14:textFill>
        </w:rPr>
      </w:pPr>
      <w:bookmarkStart w:id="81" w:name="_Toc453077869"/>
      <w:bookmarkEnd w:id="81"/>
      <w:bookmarkStart w:id="82" w:name="_Toc453077864"/>
      <w:bookmarkEnd w:id="82"/>
      <w:bookmarkStart w:id="83" w:name="_Toc453077863"/>
      <w:bookmarkEnd w:id="83"/>
      <w:bookmarkStart w:id="84" w:name="_Toc453077867"/>
      <w:bookmarkEnd w:id="84"/>
      <w:bookmarkStart w:id="85" w:name="_Toc453077870"/>
      <w:bookmarkEnd w:id="85"/>
      <w:bookmarkStart w:id="86" w:name="_Toc453077865"/>
      <w:bookmarkEnd w:id="86"/>
      <w:bookmarkStart w:id="87" w:name="_Toc453077862"/>
      <w:bookmarkEnd w:id="87"/>
      <w:bookmarkStart w:id="88" w:name="_Toc19330"/>
      <w:bookmarkStart w:id="89" w:name="_Toc1754"/>
      <w:bookmarkStart w:id="90" w:name="_Toc167698327"/>
      <w:bookmarkStart w:id="91" w:name="_Toc148348882"/>
      <w:bookmarkStart w:id="92" w:name="_Toc26901"/>
      <w:bookmarkStart w:id="93" w:name="_Toc26351"/>
      <w:bookmarkStart w:id="94" w:name="_Toc116313912"/>
      <w:bookmarkStart w:id="95" w:name="_Toc5499"/>
      <w:r>
        <w:rPr>
          <w:rFonts w:hint="eastAsia" w:ascii="仿宋_GB2312" w:hAnsi="仿宋_GB2312" w:cs="仿宋_GB2312"/>
          <w:color w:val="000000" w:themeColor="text1"/>
          <w:szCs w:val="28"/>
          <w:highlight w:val="none"/>
          <w14:textFill>
            <w14:solidFill>
              <w14:schemeClr w14:val="tx1"/>
            </w14:solidFill>
          </w14:textFill>
        </w:rPr>
        <w:t>设备运输要求</w:t>
      </w:r>
      <w:bookmarkEnd w:id="88"/>
      <w:bookmarkEnd w:id="89"/>
      <w:bookmarkEnd w:id="90"/>
      <w:bookmarkEnd w:id="91"/>
      <w:bookmarkEnd w:id="92"/>
      <w:bookmarkEnd w:id="93"/>
    </w:p>
    <w:p w14:paraId="5A7596C1">
      <w:pPr>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由</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w:t>
      </w:r>
      <w:r>
        <w:rPr>
          <w:rFonts w:hint="eastAsia" w:ascii="仿宋_GB2312" w:hAnsi="仿宋_GB2312" w:eastAsia="仿宋_GB2312" w:cs="仿宋_GB2312"/>
          <w:color w:val="000000" w:themeColor="text1"/>
          <w:sz w:val="28"/>
          <w:szCs w:val="28"/>
          <w:highlight w:val="none"/>
          <w14:textFill>
            <w14:solidFill>
              <w14:schemeClr w14:val="tx1"/>
            </w14:solidFill>
          </w14:textFill>
        </w:rPr>
        <w:t>方提供的所有设备和材料具备适应多次搬运、装卸的坚固包装，包装应保证在仓储、运输、装卸过程中产品完好无损，并有减振、防冲击的措施。包装应按设备特点，按需要分别加上防潮、防霉、防锈、防腐蚀的保护措施，以保证货物在没有任何损坏和腐蚀的情况下安全运抵指定地点。</w:t>
      </w:r>
    </w:p>
    <w:p w14:paraId="06197372">
      <w:pPr>
        <w:pStyle w:val="2"/>
        <w:keepLines w:val="0"/>
        <w:widowControl/>
        <w:tabs>
          <w:tab w:val="left" w:pos="170"/>
        </w:tabs>
        <w:spacing w:before="0" w:after="0" w:line="276" w:lineRule="auto"/>
        <w:jc w:val="left"/>
        <w:rPr>
          <w:rFonts w:ascii="仿宋_GB2312" w:hAnsi="仿宋_GB2312" w:cs="仿宋_GB2312"/>
          <w:color w:val="000000" w:themeColor="text1"/>
          <w:szCs w:val="28"/>
          <w:highlight w:val="none"/>
          <w14:textFill>
            <w14:solidFill>
              <w14:schemeClr w14:val="tx1"/>
            </w14:solidFill>
          </w14:textFill>
        </w:rPr>
      </w:pPr>
      <w:bookmarkStart w:id="96" w:name="_Toc148348883"/>
      <w:bookmarkStart w:id="97" w:name="_Toc4029"/>
      <w:bookmarkStart w:id="98" w:name="_Toc26740"/>
      <w:bookmarkStart w:id="99" w:name="_Toc6981"/>
      <w:bookmarkStart w:id="100" w:name="_Toc18081"/>
      <w:bookmarkStart w:id="101" w:name="_Toc167698328"/>
      <w:r>
        <w:rPr>
          <w:rFonts w:hint="eastAsia" w:ascii="仿宋_GB2312" w:hAnsi="仿宋_GB2312" w:cs="仿宋_GB2312"/>
          <w:color w:val="000000" w:themeColor="text1"/>
          <w:szCs w:val="28"/>
          <w:highlight w:val="none"/>
          <w14:textFill>
            <w14:solidFill>
              <w14:schemeClr w14:val="tx1"/>
            </w14:solidFill>
          </w14:textFill>
        </w:rPr>
        <w:t>设备到货及开箱签收要求</w:t>
      </w:r>
      <w:bookmarkEnd w:id="96"/>
      <w:bookmarkEnd w:id="97"/>
      <w:bookmarkEnd w:id="98"/>
      <w:bookmarkEnd w:id="99"/>
      <w:bookmarkEnd w:id="100"/>
      <w:bookmarkEnd w:id="101"/>
    </w:p>
    <w:p w14:paraId="1A4BE5A5">
      <w:pPr>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招标人与投标方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人员共同进行拆箱检验、产品外观检验、产品配置检验等硬件验收工作，对</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到货的产品进行验收工作，并出具验收报告。</w:t>
      </w:r>
    </w:p>
    <w:p w14:paraId="04D55024">
      <w:pPr>
        <w:pStyle w:val="2"/>
        <w:keepLines w:val="0"/>
        <w:widowControl/>
        <w:tabs>
          <w:tab w:val="left" w:pos="170"/>
        </w:tabs>
        <w:spacing w:before="0" w:after="0" w:line="276" w:lineRule="auto"/>
        <w:jc w:val="left"/>
        <w:rPr>
          <w:rFonts w:ascii="仿宋_GB2312" w:hAnsi="仿宋_GB2312" w:cs="仿宋_GB2312"/>
          <w:color w:val="000000" w:themeColor="text1"/>
          <w:szCs w:val="28"/>
          <w:highlight w:val="none"/>
          <w14:textFill>
            <w14:solidFill>
              <w14:schemeClr w14:val="tx1"/>
            </w14:solidFill>
          </w14:textFill>
        </w:rPr>
      </w:pPr>
      <w:bookmarkStart w:id="102" w:name="_Toc27185"/>
      <w:bookmarkStart w:id="103" w:name="_Toc474172679"/>
      <w:bookmarkStart w:id="104" w:name="_Toc15749"/>
      <w:bookmarkStart w:id="105" w:name="_Toc26216"/>
      <w:bookmarkStart w:id="106" w:name="_Toc148348884"/>
      <w:bookmarkStart w:id="107" w:name="_Toc28986"/>
      <w:bookmarkStart w:id="108" w:name="_Toc167698329"/>
      <w:bookmarkStart w:id="109" w:name="_Toc27573"/>
      <w:r>
        <w:rPr>
          <w:rFonts w:hint="eastAsia" w:ascii="仿宋_GB2312" w:hAnsi="仿宋_GB2312" w:cs="仿宋_GB2312"/>
          <w:color w:val="000000" w:themeColor="text1"/>
          <w:szCs w:val="28"/>
          <w:highlight w:val="none"/>
          <w14:textFill>
            <w14:solidFill>
              <w14:schemeClr w14:val="tx1"/>
            </w14:solidFill>
          </w14:textFill>
        </w:rPr>
        <w:t>设备调试服务</w:t>
      </w:r>
      <w:bookmarkEnd w:id="102"/>
      <w:bookmarkEnd w:id="103"/>
      <w:r>
        <w:rPr>
          <w:rFonts w:hint="eastAsia" w:ascii="仿宋_GB2312" w:hAnsi="仿宋_GB2312" w:cs="仿宋_GB2312"/>
          <w:color w:val="000000" w:themeColor="text1"/>
          <w:szCs w:val="28"/>
          <w:highlight w:val="none"/>
          <w14:textFill>
            <w14:solidFill>
              <w14:schemeClr w14:val="tx1"/>
            </w14:solidFill>
          </w14:textFill>
        </w:rPr>
        <w:t>要求</w:t>
      </w:r>
      <w:bookmarkEnd w:id="104"/>
      <w:bookmarkEnd w:id="105"/>
      <w:bookmarkEnd w:id="106"/>
      <w:bookmarkEnd w:id="107"/>
      <w:bookmarkEnd w:id="108"/>
      <w:bookmarkEnd w:id="109"/>
    </w:p>
    <w:p w14:paraId="052F10E2">
      <w:pPr>
        <w:pStyle w:val="36"/>
        <w:numPr>
          <w:ilvl w:val="0"/>
          <w:numId w:val="2"/>
        </w:numPr>
        <w:snapToGrid w:val="0"/>
        <w:spacing w:line="360" w:lineRule="auto"/>
        <w:ind w:left="913" w:firstLineChars="0"/>
        <w:rPr>
          <w:rFonts w:ascii="仿宋_GB2312" w:hAnsi="仿宋_GB2312" w:eastAsia="仿宋_GB2312" w:cs="仿宋_GB2312"/>
          <w:color w:val="000000" w:themeColor="text1"/>
          <w:sz w:val="28"/>
          <w:szCs w:val="28"/>
          <w:highlight w:val="none"/>
          <w14:textFill>
            <w14:solidFill>
              <w14:schemeClr w14:val="tx1"/>
            </w14:solidFill>
          </w14:textFill>
        </w:rPr>
      </w:pPr>
      <w:bookmarkStart w:id="110" w:name="_Toc483668067"/>
      <w:bookmarkStart w:id="111" w:name="_Toc429648438"/>
      <w:r>
        <w:rPr>
          <w:rFonts w:hint="eastAsia" w:ascii="仿宋_GB2312" w:hAnsi="仿宋_GB2312" w:eastAsia="仿宋_GB2312" w:cs="仿宋_GB2312"/>
          <w:color w:val="000000" w:themeColor="text1"/>
          <w:sz w:val="28"/>
          <w:szCs w:val="28"/>
          <w:highlight w:val="none"/>
          <w14:textFill>
            <w14:solidFill>
              <w14:schemeClr w14:val="tx1"/>
            </w14:solidFill>
          </w14:textFill>
        </w:rPr>
        <w:t>设备调试：</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必须对所提供的所有设备提供调试服务包括设备调试开通及技术支持等。</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提供的设备必须在规定的调试时间前到达现场。在设备现场调试前，</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须提供调试手册（包括设备描述、现场调试步骤、调试工具和实施材料等）。</w:t>
      </w:r>
    </w:p>
    <w:p w14:paraId="50D36BFF">
      <w:pPr>
        <w:pStyle w:val="36"/>
        <w:numPr>
          <w:ilvl w:val="0"/>
          <w:numId w:val="2"/>
        </w:numPr>
        <w:snapToGrid w:val="0"/>
        <w:spacing w:line="360" w:lineRule="auto"/>
        <w:ind w:left="913" w:firstLineChars="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须提供全套设备软硬件、调试材料、专用工具、调试手册和调试图。</w:t>
      </w:r>
    </w:p>
    <w:p w14:paraId="7409E51B">
      <w:pPr>
        <w:pStyle w:val="36"/>
        <w:numPr>
          <w:ilvl w:val="0"/>
          <w:numId w:val="2"/>
        </w:numPr>
        <w:snapToGrid w:val="0"/>
        <w:spacing w:line="360" w:lineRule="auto"/>
        <w:ind w:left="913" w:firstLineChars="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有责任在保证安全和质量的前提下提供技术服务，包括技术咨询等。</w:t>
      </w:r>
    </w:p>
    <w:p w14:paraId="5727F385">
      <w:pPr>
        <w:pStyle w:val="36"/>
        <w:numPr>
          <w:ilvl w:val="0"/>
          <w:numId w:val="2"/>
        </w:numPr>
        <w:snapToGrid w:val="0"/>
        <w:spacing w:line="360" w:lineRule="auto"/>
        <w:ind w:left="913" w:firstLineChars="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设备及系统调测：</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须负责所提供产品的系统调测工作。</w:t>
      </w:r>
    </w:p>
    <w:bookmarkEnd w:id="110"/>
    <w:bookmarkEnd w:id="111"/>
    <w:p w14:paraId="671621E5">
      <w:pPr>
        <w:pStyle w:val="36"/>
        <w:numPr>
          <w:ilvl w:val="0"/>
          <w:numId w:val="2"/>
        </w:numPr>
        <w:snapToGrid w:val="0"/>
        <w:spacing w:line="360" w:lineRule="auto"/>
        <w:ind w:left="913" w:firstLineChars="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负责提供调试、调测所需的全部仪表及工具。</w:t>
      </w:r>
    </w:p>
    <w:p w14:paraId="489BFEEB">
      <w:pPr>
        <w:pStyle w:val="2"/>
        <w:keepLines w:val="0"/>
        <w:widowControl/>
        <w:tabs>
          <w:tab w:val="left" w:pos="170"/>
        </w:tabs>
        <w:spacing w:before="0" w:after="0" w:line="276" w:lineRule="auto"/>
        <w:jc w:val="left"/>
        <w:rPr>
          <w:rFonts w:ascii="仿宋_GB2312" w:hAnsi="仿宋_GB2312" w:cs="仿宋_GB2312"/>
          <w:color w:val="000000" w:themeColor="text1"/>
          <w:szCs w:val="28"/>
          <w:highlight w:val="none"/>
          <w14:textFill>
            <w14:solidFill>
              <w14:schemeClr w14:val="tx1"/>
            </w14:solidFill>
          </w14:textFill>
        </w:rPr>
      </w:pPr>
      <w:bookmarkStart w:id="112" w:name="_Toc167698330"/>
      <w:bookmarkStart w:id="113" w:name="_Toc27951"/>
      <w:bookmarkStart w:id="114" w:name="_Toc7412"/>
      <w:bookmarkStart w:id="115" w:name="_Toc148348885"/>
      <w:bookmarkStart w:id="116" w:name="_Toc26454"/>
      <w:bookmarkStart w:id="117" w:name="_Toc16210"/>
      <w:r>
        <w:rPr>
          <w:rFonts w:hint="eastAsia" w:ascii="仿宋_GB2312" w:hAnsi="仿宋_GB2312" w:cs="仿宋_GB2312"/>
          <w:color w:val="000000" w:themeColor="text1"/>
          <w:szCs w:val="28"/>
          <w:highlight w:val="none"/>
          <w14:textFill>
            <w14:solidFill>
              <w14:schemeClr w14:val="tx1"/>
            </w14:solidFill>
          </w14:textFill>
        </w:rPr>
        <w:t>售后与技术服务</w:t>
      </w:r>
      <w:bookmarkStart w:id="118" w:name="_Toc483668065"/>
      <w:bookmarkEnd w:id="118"/>
      <w:bookmarkStart w:id="119" w:name="_Toc13651"/>
      <w:bookmarkEnd w:id="119"/>
      <w:bookmarkStart w:id="120" w:name="_Toc22733832"/>
      <w:bookmarkEnd w:id="120"/>
      <w:bookmarkStart w:id="121" w:name="_Toc22734377"/>
      <w:bookmarkEnd w:id="121"/>
      <w:bookmarkStart w:id="122" w:name="_Toc22733929"/>
      <w:bookmarkEnd w:id="122"/>
      <w:bookmarkStart w:id="123" w:name="_Toc28987"/>
      <w:bookmarkEnd w:id="123"/>
      <w:bookmarkStart w:id="124" w:name="_Toc7743"/>
      <w:bookmarkEnd w:id="124"/>
      <w:bookmarkStart w:id="125" w:name="_Toc22720251"/>
      <w:bookmarkEnd w:id="125"/>
      <w:bookmarkStart w:id="126" w:name="_Toc3393081"/>
      <w:bookmarkEnd w:id="126"/>
      <w:bookmarkStart w:id="127" w:name="_Toc22733931"/>
      <w:bookmarkEnd w:id="127"/>
      <w:bookmarkStart w:id="128" w:name="_Toc5037245"/>
      <w:bookmarkEnd w:id="128"/>
      <w:bookmarkStart w:id="129" w:name="_Toc483657752"/>
      <w:bookmarkEnd w:id="129"/>
      <w:bookmarkStart w:id="130" w:name="_Toc22733830"/>
      <w:bookmarkEnd w:id="130"/>
      <w:bookmarkStart w:id="131" w:name="_Toc22751335"/>
      <w:bookmarkEnd w:id="131"/>
      <w:bookmarkStart w:id="132" w:name="_Toc4097550"/>
      <w:bookmarkEnd w:id="132"/>
      <w:bookmarkStart w:id="133" w:name="_Toc3698"/>
      <w:bookmarkEnd w:id="133"/>
      <w:bookmarkStart w:id="134" w:name="_Toc21217"/>
      <w:bookmarkEnd w:id="134"/>
      <w:bookmarkStart w:id="135" w:name="_Toc5037246"/>
      <w:bookmarkEnd w:id="135"/>
      <w:bookmarkStart w:id="136" w:name="_Toc22743284"/>
      <w:bookmarkEnd w:id="136"/>
      <w:bookmarkStart w:id="137" w:name="_Toc4141532"/>
      <w:bookmarkEnd w:id="137"/>
      <w:bookmarkStart w:id="138" w:name="_Toc4097548"/>
      <w:bookmarkEnd w:id="138"/>
      <w:bookmarkStart w:id="139" w:name="_Toc482292521"/>
      <w:bookmarkEnd w:id="139"/>
      <w:bookmarkStart w:id="140" w:name="_Toc22733833"/>
      <w:bookmarkEnd w:id="140"/>
      <w:bookmarkStart w:id="141" w:name="_Toc22733831"/>
      <w:bookmarkEnd w:id="141"/>
      <w:bookmarkStart w:id="142" w:name="_Toc5482"/>
      <w:bookmarkEnd w:id="142"/>
      <w:bookmarkStart w:id="143" w:name="_Toc4097551"/>
      <w:bookmarkEnd w:id="143"/>
      <w:bookmarkStart w:id="144" w:name="_Toc483668063"/>
      <w:bookmarkEnd w:id="144"/>
      <w:bookmarkStart w:id="145" w:name="_Toc22743285"/>
      <w:bookmarkEnd w:id="145"/>
      <w:bookmarkStart w:id="146" w:name="_Toc3393079"/>
      <w:bookmarkEnd w:id="146"/>
      <w:bookmarkStart w:id="147" w:name="_Toc14697"/>
      <w:bookmarkEnd w:id="147"/>
      <w:bookmarkStart w:id="148" w:name="_Toc3393082"/>
      <w:bookmarkEnd w:id="148"/>
      <w:bookmarkStart w:id="149" w:name="_Toc22733930"/>
      <w:bookmarkEnd w:id="149"/>
      <w:bookmarkStart w:id="150" w:name="_Toc11578"/>
      <w:bookmarkEnd w:id="150"/>
      <w:bookmarkStart w:id="151" w:name="_Toc22751334"/>
      <w:bookmarkEnd w:id="151"/>
      <w:bookmarkStart w:id="152" w:name="_Toc22751333"/>
      <w:bookmarkEnd w:id="152"/>
      <w:bookmarkStart w:id="153" w:name="_Toc4093344"/>
      <w:bookmarkEnd w:id="153"/>
      <w:bookmarkStart w:id="154" w:name="_Toc4140963"/>
      <w:bookmarkEnd w:id="154"/>
      <w:bookmarkStart w:id="155" w:name="_Toc28773"/>
      <w:bookmarkEnd w:id="155"/>
      <w:bookmarkStart w:id="156" w:name="_Toc14010"/>
      <w:bookmarkEnd w:id="156"/>
      <w:bookmarkStart w:id="157" w:name="_Toc5037244"/>
      <w:bookmarkEnd w:id="157"/>
      <w:bookmarkStart w:id="158" w:name="_Toc5132"/>
      <w:bookmarkEnd w:id="158"/>
      <w:bookmarkStart w:id="159" w:name="_Toc6120"/>
      <w:bookmarkEnd w:id="159"/>
      <w:bookmarkStart w:id="160" w:name="_Toc4141533"/>
      <w:bookmarkEnd w:id="160"/>
      <w:bookmarkStart w:id="161" w:name="_Toc4093343"/>
      <w:bookmarkEnd w:id="161"/>
      <w:bookmarkStart w:id="162" w:name="_Toc7502"/>
      <w:bookmarkEnd w:id="162"/>
      <w:bookmarkStart w:id="163" w:name="_Toc483668064"/>
      <w:bookmarkEnd w:id="163"/>
      <w:bookmarkStart w:id="164" w:name="_Toc22751336"/>
      <w:bookmarkEnd w:id="164"/>
      <w:bookmarkStart w:id="165" w:name="_Toc3392996"/>
      <w:bookmarkEnd w:id="165"/>
      <w:bookmarkStart w:id="166" w:name="_Toc23442"/>
      <w:bookmarkEnd w:id="166"/>
      <w:bookmarkStart w:id="167" w:name="_Toc24454638"/>
      <w:bookmarkEnd w:id="167"/>
      <w:bookmarkStart w:id="168" w:name="_Toc4140964"/>
      <w:bookmarkEnd w:id="168"/>
      <w:bookmarkStart w:id="169" w:name="_Toc13045"/>
      <w:bookmarkEnd w:id="169"/>
      <w:bookmarkStart w:id="170" w:name="_Toc3392997"/>
      <w:bookmarkEnd w:id="170"/>
      <w:bookmarkStart w:id="171" w:name="_Toc4141531"/>
      <w:bookmarkEnd w:id="171"/>
      <w:bookmarkStart w:id="172" w:name="_Toc4140961"/>
      <w:bookmarkEnd w:id="172"/>
      <w:bookmarkStart w:id="173" w:name="_Toc22249"/>
      <w:bookmarkEnd w:id="173"/>
      <w:bookmarkStart w:id="174" w:name="_Toc22734380"/>
      <w:bookmarkEnd w:id="174"/>
      <w:bookmarkStart w:id="175" w:name="_Toc3392999"/>
      <w:bookmarkEnd w:id="175"/>
      <w:bookmarkStart w:id="176" w:name="_Toc22720248"/>
      <w:bookmarkEnd w:id="176"/>
      <w:bookmarkStart w:id="177" w:name="_Toc24454641"/>
      <w:bookmarkEnd w:id="177"/>
      <w:bookmarkStart w:id="178" w:name="_Toc22743283"/>
      <w:bookmarkEnd w:id="178"/>
      <w:bookmarkStart w:id="179" w:name="_Toc14354"/>
      <w:bookmarkEnd w:id="179"/>
      <w:bookmarkStart w:id="180" w:name="_Toc17995"/>
      <w:bookmarkEnd w:id="180"/>
      <w:bookmarkStart w:id="181" w:name="_Toc4093342"/>
      <w:bookmarkEnd w:id="181"/>
      <w:bookmarkStart w:id="182" w:name="_Toc4141530"/>
      <w:bookmarkEnd w:id="182"/>
      <w:bookmarkStart w:id="183" w:name="_Toc3392998"/>
      <w:bookmarkEnd w:id="183"/>
      <w:bookmarkStart w:id="184" w:name="_Toc4140962"/>
      <w:bookmarkEnd w:id="184"/>
      <w:bookmarkStart w:id="185" w:name="_Toc22734378"/>
      <w:bookmarkEnd w:id="185"/>
      <w:bookmarkStart w:id="186" w:name="_Toc22720250"/>
      <w:bookmarkEnd w:id="186"/>
      <w:bookmarkStart w:id="187" w:name="_Toc3823"/>
      <w:bookmarkEnd w:id="187"/>
      <w:bookmarkStart w:id="188" w:name="_Toc5037243"/>
      <w:bookmarkEnd w:id="188"/>
      <w:bookmarkStart w:id="189" w:name="_Toc3393080"/>
      <w:bookmarkEnd w:id="189"/>
      <w:bookmarkStart w:id="190" w:name="_Toc22734379"/>
      <w:bookmarkEnd w:id="190"/>
      <w:bookmarkStart w:id="191" w:name="_Toc483668062"/>
      <w:bookmarkEnd w:id="191"/>
      <w:bookmarkStart w:id="192" w:name="_Toc14548"/>
      <w:bookmarkEnd w:id="192"/>
      <w:bookmarkStart w:id="193" w:name="_Toc23328"/>
      <w:bookmarkEnd w:id="193"/>
      <w:bookmarkStart w:id="194" w:name="_Toc11384"/>
      <w:bookmarkEnd w:id="194"/>
      <w:bookmarkStart w:id="195" w:name="_Toc4093345"/>
      <w:bookmarkEnd w:id="195"/>
      <w:bookmarkStart w:id="196" w:name="_Toc22743282"/>
      <w:bookmarkEnd w:id="196"/>
      <w:bookmarkStart w:id="197" w:name="_Toc22720249"/>
      <w:bookmarkEnd w:id="197"/>
      <w:bookmarkStart w:id="198" w:name="_Toc483667839"/>
      <w:bookmarkEnd w:id="198"/>
      <w:bookmarkStart w:id="199" w:name="_Toc24454639"/>
      <w:bookmarkEnd w:id="199"/>
      <w:bookmarkStart w:id="200" w:name="_Toc4097549"/>
      <w:bookmarkEnd w:id="200"/>
      <w:bookmarkStart w:id="201" w:name="_Toc28991"/>
      <w:bookmarkEnd w:id="201"/>
      <w:bookmarkStart w:id="202" w:name="_Toc22733928"/>
      <w:bookmarkEnd w:id="202"/>
      <w:bookmarkStart w:id="203" w:name="_Toc24454640"/>
      <w:bookmarkEnd w:id="203"/>
      <w:bookmarkStart w:id="204" w:name="_Toc483553189"/>
      <w:bookmarkEnd w:id="204"/>
      <w:bookmarkStart w:id="205" w:name="_Toc2332"/>
      <w:bookmarkEnd w:id="205"/>
      <w:bookmarkStart w:id="206" w:name="_Toc429648430"/>
      <w:r>
        <w:rPr>
          <w:rFonts w:hint="eastAsia" w:ascii="仿宋_GB2312" w:hAnsi="仿宋_GB2312" w:cs="仿宋_GB2312"/>
          <w:color w:val="000000" w:themeColor="text1"/>
          <w:szCs w:val="28"/>
          <w:highlight w:val="none"/>
          <w14:textFill>
            <w14:solidFill>
              <w14:schemeClr w14:val="tx1"/>
            </w14:solidFill>
          </w14:textFill>
        </w:rPr>
        <w:t>要求</w:t>
      </w:r>
      <w:bookmarkEnd w:id="112"/>
      <w:bookmarkEnd w:id="113"/>
      <w:bookmarkEnd w:id="114"/>
      <w:bookmarkEnd w:id="115"/>
      <w:bookmarkEnd w:id="116"/>
      <w:bookmarkEnd w:id="117"/>
    </w:p>
    <w:bookmarkEnd w:id="206"/>
    <w:p w14:paraId="61E02527">
      <w:pPr>
        <w:pStyle w:val="3"/>
        <w:tabs>
          <w:tab w:val="left" w:pos="170"/>
          <w:tab w:val="left" w:pos="576"/>
        </w:tabs>
        <w:autoSpaceDE w:val="0"/>
        <w:autoSpaceDN w:val="0"/>
        <w:snapToGrid/>
        <w:spacing w:before="156" w:beforeLines="0" w:after="156" w:afterLines="0" w:line="276" w:lineRule="auto"/>
        <w:ind w:left="709"/>
        <w:jc w:val="left"/>
        <w:rPr>
          <w:rFonts w:ascii="仿宋_GB2312" w:hAnsi="仿宋_GB2312" w:cs="仿宋_GB2312"/>
          <w:color w:val="000000" w:themeColor="text1"/>
          <w:sz w:val="28"/>
          <w:szCs w:val="28"/>
          <w:highlight w:val="none"/>
          <w14:textFill>
            <w14:solidFill>
              <w14:schemeClr w14:val="tx1"/>
            </w14:solidFill>
          </w14:textFill>
        </w:rPr>
      </w:pPr>
      <w:bookmarkStart w:id="207" w:name="_Toc2002"/>
      <w:bookmarkStart w:id="208" w:name="_Toc32354"/>
      <w:bookmarkStart w:id="209" w:name="_Toc167698331"/>
      <w:bookmarkStart w:id="210" w:name="_Toc2130"/>
      <w:bookmarkStart w:id="211" w:name="_Toc31681"/>
      <w:bookmarkStart w:id="212" w:name="_Toc429648435"/>
      <w:bookmarkStart w:id="213" w:name="_Toc4060967"/>
      <w:bookmarkStart w:id="214" w:name="_Toc148348886"/>
      <w:bookmarkStart w:id="215" w:name="_Toc429648431"/>
      <w:r>
        <w:rPr>
          <w:rFonts w:hint="eastAsia" w:ascii="仿宋_GB2312" w:hAnsi="仿宋_GB2312" w:cs="仿宋_GB2312"/>
          <w:color w:val="000000" w:themeColor="text1"/>
          <w:sz w:val="28"/>
          <w:szCs w:val="28"/>
          <w:highlight w:val="none"/>
          <w14:textFill>
            <w14:solidFill>
              <w14:schemeClr w14:val="tx1"/>
            </w14:solidFill>
          </w14:textFill>
        </w:rPr>
        <w:t>售后与技术服务描述</w:t>
      </w:r>
      <w:bookmarkEnd w:id="207"/>
      <w:bookmarkEnd w:id="208"/>
      <w:bookmarkEnd w:id="209"/>
      <w:bookmarkEnd w:id="210"/>
      <w:bookmarkEnd w:id="211"/>
      <w:bookmarkEnd w:id="212"/>
      <w:bookmarkEnd w:id="213"/>
      <w:bookmarkEnd w:id="214"/>
    </w:p>
    <w:p w14:paraId="61AE0250">
      <w:pPr>
        <w:pStyle w:val="35"/>
        <w:numPr>
          <w:ilvl w:val="0"/>
          <w:numId w:val="3"/>
        </w:numPr>
        <w:spacing w:line="276" w:lineRule="auto"/>
        <w:ind w:left="567" w:firstLine="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应根据</w:t>
      </w:r>
      <w:r>
        <w:rPr>
          <w:rFonts w:hint="eastAsia" w:ascii="仿宋_GB2312" w:hAnsi="仿宋_GB2312" w:eastAsia="仿宋_GB2312" w:cs="仿宋_GB2312"/>
          <w:color w:val="000000" w:themeColor="text1"/>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sz w:val="28"/>
          <w:szCs w:val="28"/>
          <w:highlight w:val="none"/>
          <w14:textFill>
            <w14:solidFill>
              <w14:schemeClr w14:val="tx1"/>
            </w14:solidFill>
          </w14:textFill>
        </w:rPr>
        <w:t>人要求，在</w:t>
      </w:r>
      <w:r>
        <w:rPr>
          <w:rFonts w:hint="eastAsia" w:ascii="仿宋_GB2312" w:hAnsi="仿宋_GB2312" w:eastAsia="仿宋_GB2312" w:cs="仿宋_GB2312"/>
          <w:color w:val="000000" w:themeColor="text1"/>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sz w:val="28"/>
          <w:szCs w:val="28"/>
          <w:highlight w:val="none"/>
          <w14:textFill>
            <w14:solidFill>
              <w14:schemeClr w14:val="tx1"/>
            </w14:solidFill>
          </w14:textFill>
        </w:rPr>
        <w:t>人要求的时间内完成设备使用前所需的技术支持、软件使用培训、测试培训等工作。</w:t>
      </w:r>
    </w:p>
    <w:p w14:paraId="56999A94">
      <w:pPr>
        <w:pStyle w:val="35"/>
        <w:numPr>
          <w:ilvl w:val="0"/>
          <w:numId w:val="3"/>
        </w:numPr>
        <w:spacing w:line="276" w:lineRule="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应具备完善的研发体系、高效的研发管理流程，并配置合理的技术团队和资源，以保证其技术支撑能力满足用户需求</w:t>
      </w:r>
    </w:p>
    <w:p w14:paraId="1F590820">
      <w:pPr>
        <w:pStyle w:val="35"/>
        <w:numPr>
          <w:ilvl w:val="0"/>
          <w:numId w:val="3"/>
        </w:numPr>
        <w:spacing w:line="276" w:lineRule="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应按照</w:t>
      </w:r>
      <w:r>
        <w:rPr>
          <w:rFonts w:hint="eastAsia" w:ascii="仿宋_GB2312" w:hAnsi="仿宋_GB2312" w:eastAsia="仿宋_GB2312" w:cs="仿宋_GB2312"/>
          <w:color w:val="000000" w:themeColor="text1"/>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sz w:val="28"/>
          <w:szCs w:val="28"/>
          <w:highlight w:val="none"/>
          <w14:textFill>
            <w14:solidFill>
              <w14:schemeClr w14:val="tx1"/>
            </w14:solidFill>
          </w14:textFill>
        </w:rPr>
        <w:t>人要求安排相关人员进行技术培训。</w:t>
      </w:r>
    </w:p>
    <w:p w14:paraId="7F36FDE6">
      <w:pPr>
        <w:pStyle w:val="35"/>
        <w:numPr>
          <w:ilvl w:val="0"/>
          <w:numId w:val="3"/>
        </w:numPr>
        <w:spacing w:line="276" w:lineRule="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应在后续服务过程中，按</w:t>
      </w:r>
      <w:r>
        <w:rPr>
          <w:rFonts w:hint="eastAsia" w:ascii="仿宋_GB2312" w:hAnsi="仿宋_GB2312" w:eastAsia="仿宋_GB2312" w:cs="仿宋_GB2312"/>
          <w:color w:val="000000" w:themeColor="text1"/>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sz w:val="28"/>
          <w:szCs w:val="28"/>
          <w:highlight w:val="none"/>
          <w14:textFill>
            <w14:solidFill>
              <w14:schemeClr w14:val="tx1"/>
            </w14:solidFill>
          </w14:textFill>
        </w:rPr>
        <w:t>人要求进行产品升级与维护。</w:t>
      </w:r>
    </w:p>
    <w:p w14:paraId="732C5DEF">
      <w:pPr>
        <w:pStyle w:val="36"/>
        <w:numPr>
          <w:ilvl w:val="0"/>
          <w:numId w:val="3"/>
        </w:numPr>
        <w:spacing w:line="276" w:lineRule="auto"/>
        <w:ind w:left="912" w:firstLineChars="0"/>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免费为</w:t>
      </w:r>
      <w:r>
        <w:rPr>
          <w:rFonts w:hint="eastAsia" w:ascii="仿宋_GB2312" w:hAnsi="仿宋_GB2312" w:eastAsia="仿宋_GB2312" w:cs="仿宋_GB2312"/>
          <w:color w:val="000000" w:themeColor="text1"/>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sz w:val="28"/>
          <w:szCs w:val="28"/>
          <w:highlight w:val="none"/>
          <w14:textFill>
            <w14:solidFill>
              <w14:schemeClr w14:val="tx1"/>
            </w14:solidFill>
          </w14:textFill>
        </w:rPr>
        <w:t>人</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提供服务咨询。</w:t>
      </w:r>
    </w:p>
    <w:p w14:paraId="1319BDEB">
      <w:pPr>
        <w:pStyle w:val="35"/>
        <w:numPr>
          <w:ilvl w:val="0"/>
          <w:numId w:val="3"/>
        </w:numPr>
        <w:spacing w:line="276" w:lineRule="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负责对</w:t>
      </w:r>
      <w:r>
        <w:rPr>
          <w:rFonts w:hint="eastAsia" w:ascii="仿宋_GB2312" w:hAnsi="仿宋_GB2312" w:eastAsia="仿宋_GB2312" w:cs="仿宋_GB2312"/>
          <w:color w:val="000000" w:themeColor="text1"/>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sz w:val="28"/>
          <w:szCs w:val="28"/>
          <w:highlight w:val="none"/>
          <w14:textFill>
            <w14:solidFill>
              <w14:schemeClr w14:val="tx1"/>
            </w14:solidFill>
          </w14:textFill>
        </w:rPr>
        <w:t>人进行技术培训，并建立技术支持热线，实施24小时技术支持服务。</w:t>
      </w:r>
    </w:p>
    <w:p w14:paraId="02138B64">
      <w:pPr>
        <w:pStyle w:val="3"/>
        <w:tabs>
          <w:tab w:val="left" w:pos="170"/>
          <w:tab w:val="left" w:pos="576"/>
        </w:tabs>
        <w:autoSpaceDE w:val="0"/>
        <w:autoSpaceDN w:val="0"/>
        <w:snapToGrid/>
        <w:spacing w:before="156" w:beforeLines="0" w:after="156" w:afterLines="0" w:line="276" w:lineRule="auto"/>
        <w:ind w:hanging="426"/>
        <w:jc w:val="left"/>
        <w:rPr>
          <w:rFonts w:ascii="仿宋_GB2312" w:hAnsi="仿宋_GB2312" w:cs="仿宋_GB2312"/>
          <w:b/>
          <w:bCs w:val="0"/>
          <w:color w:val="000000" w:themeColor="text1"/>
          <w:sz w:val="28"/>
          <w:szCs w:val="28"/>
          <w:highlight w:val="none"/>
          <w14:textFill>
            <w14:solidFill>
              <w14:schemeClr w14:val="tx1"/>
            </w14:solidFill>
          </w14:textFill>
        </w:rPr>
      </w:pPr>
      <w:bookmarkStart w:id="216" w:name="_Toc31913"/>
      <w:bookmarkStart w:id="217" w:name="_Toc7606"/>
      <w:bookmarkStart w:id="218" w:name="_Toc9188"/>
      <w:bookmarkStart w:id="219" w:name="_Toc167698332"/>
      <w:bookmarkStart w:id="220" w:name="_Toc148348887"/>
      <w:bookmarkStart w:id="221" w:name="_Toc443"/>
      <w:r>
        <w:rPr>
          <w:rFonts w:hint="eastAsia" w:ascii="仿宋_GB2312" w:hAnsi="仿宋_GB2312" w:cs="仿宋_GB2312"/>
          <w:b/>
          <w:bCs w:val="0"/>
          <w:color w:val="000000" w:themeColor="text1"/>
          <w:sz w:val="28"/>
          <w:szCs w:val="28"/>
          <w:highlight w:val="none"/>
          <w14:textFill>
            <w14:solidFill>
              <w14:schemeClr w14:val="tx1"/>
            </w14:solidFill>
          </w14:textFill>
        </w:rPr>
        <w:t>电话技术支持服务</w:t>
      </w:r>
      <w:bookmarkEnd w:id="216"/>
      <w:bookmarkEnd w:id="217"/>
      <w:bookmarkEnd w:id="218"/>
      <w:bookmarkEnd w:id="219"/>
      <w:bookmarkEnd w:id="220"/>
      <w:bookmarkEnd w:id="221"/>
    </w:p>
    <w:p w14:paraId="7DF21C64">
      <w:pPr>
        <w:snapToGrid w:val="0"/>
        <w:spacing w:line="360" w:lineRule="auto"/>
        <w:ind w:firstLine="560" w:firstLineChars="200"/>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投标方须具备为招标人提供 7×24 小时电话服务的能力，负责受理招标人的业务咨询，以及招标人转派或直接提出的设备维护服务请求。投标方应组织对服务人员进行必要的技能及流程培训，并建立服务升级咨询渠道，保障服务顺畅开展。</w:t>
      </w:r>
    </w:p>
    <w:p w14:paraId="26C0C45C">
      <w:pPr>
        <w:snapToGrid w:val="0"/>
        <w:spacing w:line="360" w:lineRule="auto"/>
        <w:ind w:firstLine="560" w:firstLineChars="200"/>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应视项目需求与约定，提供 “电话”维护服务渠道，可以是指定的上述官方客服电话或者维护责任人联系方式。</w:t>
      </w:r>
    </w:p>
    <w:p w14:paraId="5E2E232D">
      <w:pPr>
        <w:snapToGrid w:val="0"/>
        <w:spacing w:line="360" w:lineRule="auto"/>
        <w:ind w:firstLine="560" w:firstLineChars="200"/>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服务人员应按照</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人提供的材料与方法，进行设备保修期判定、设备保修范围判定、设备故障初步判定、报修详细信息记录等工作。并能提供</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人需要的技术指导资料，指导</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人正常使用或进行故障恢复等。</w:t>
      </w:r>
    </w:p>
    <w:p w14:paraId="72647BED">
      <w:pPr>
        <w:snapToGrid w:val="0"/>
        <w:spacing w:line="360" w:lineRule="auto"/>
        <w:ind w:firstLine="560" w:firstLineChars="200"/>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应使用双方约定的信息系统或方式记录电话技术支持服务，并汇总上报给</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人。</w:t>
      </w:r>
    </w:p>
    <w:p w14:paraId="6D2CF447">
      <w:pPr>
        <w:pStyle w:val="3"/>
        <w:tabs>
          <w:tab w:val="left" w:pos="170"/>
          <w:tab w:val="left" w:pos="576"/>
        </w:tabs>
        <w:autoSpaceDE w:val="0"/>
        <w:autoSpaceDN w:val="0"/>
        <w:snapToGrid/>
        <w:spacing w:before="156" w:beforeLines="0" w:after="156" w:afterLines="0" w:line="276" w:lineRule="auto"/>
        <w:ind w:hanging="426"/>
        <w:jc w:val="left"/>
        <w:rPr>
          <w:rFonts w:ascii="仿宋_GB2312" w:hAnsi="仿宋_GB2312" w:cs="仿宋_GB2312"/>
          <w:color w:val="000000" w:themeColor="text1"/>
          <w:sz w:val="28"/>
          <w:szCs w:val="28"/>
          <w:highlight w:val="none"/>
          <w14:textFill>
            <w14:solidFill>
              <w14:schemeClr w14:val="tx1"/>
            </w14:solidFill>
          </w14:textFill>
        </w:rPr>
      </w:pPr>
      <w:bookmarkStart w:id="222" w:name="_Toc13841"/>
      <w:bookmarkStart w:id="223" w:name="_Toc167698333"/>
      <w:bookmarkStart w:id="224" w:name="_Toc2810"/>
      <w:bookmarkStart w:id="225" w:name="_Toc31646"/>
      <w:bookmarkStart w:id="226" w:name="_Toc8628"/>
      <w:bookmarkStart w:id="227" w:name="_Toc148348888"/>
      <w:r>
        <w:rPr>
          <w:rFonts w:hint="eastAsia" w:ascii="仿宋_GB2312" w:hAnsi="仿宋_GB2312" w:cs="仿宋_GB2312"/>
          <w:color w:val="000000" w:themeColor="text1"/>
          <w:sz w:val="28"/>
          <w:szCs w:val="28"/>
          <w:highlight w:val="none"/>
          <w14:textFill>
            <w14:solidFill>
              <w14:schemeClr w14:val="tx1"/>
            </w14:solidFill>
          </w14:textFill>
        </w:rPr>
        <w:t>设备故障修复服务（含远程技术支持、现场技术支持）</w:t>
      </w:r>
      <w:bookmarkEnd w:id="222"/>
      <w:bookmarkEnd w:id="223"/>
      <w:bookmarkEnd w:id="224"/>
      <w:bookmarkEnd w:id="225"/>
      <w:bookmarkEnd w:id="226"/>
      <w:bookmarkEnd w:id="227"/>
    </w:p>
    <w:p w14:paraId="59F3D223">
      <w:pPr>
        <w:pStyle w:val="35"/>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应保证产品的售后服务响应时间不超过24小时。</w:t>
      </w:r>
    </w:p>
    <w:p w14:paraId="49A2AE9E">
      <w:pPr>
        <w:pStyle w:val="35"/>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服务人员应对</w:t>
      </w:r>
      <w:r>
        <w:rPr>
          <w:rFonts w:hint="eastAsia" w:ascii="仿宋_GB2312" w:hAnsi="仿宋_GB2312" w:eastAsia="仿宋_GB2312" w:cs="仿宋_GB2312"/>
          <w:color w:val="000000" w:themeColor="text1"/>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sz w:val="28"/>
          <w:szCs w:val="28"/>
          <w:highlight w:val="none"/>
          <w14:textFill>
            <w14:solidFill>
              <w14:schemeClr w14:val="tx1"/>
            </w14:solidFill>
          </w14:textFill>
        </w:rPr>
        <w:t>人申报的故障进行远程指导解决。</w:t>
      </w:r>
    </w:p>
    <w:p w14:paraId="5FD69788">
      <w:pPr>
        <w:pStyle w:val="35"/>
        <w:spacing w:line="360"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服务人员应配合</w:t>
      </w:r>
      <w:r>
        <w:rPr>
          <w:rFonts w:hint="eastAsia" w:ascii="仿宋_GB2312" w:hAnsi="仿宋_GB2312" w:eastAsia="仿宋_GB2312" w:cs="仿宋_GB2312"/>
          <w:color w:val="000000" w:themeColor="text1"/>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sz w:val="28"/>
          <w:szCs w:val="28"/>
          <w:highlight w:val="none"/>
          <w14:textFill>
            <w14:solidFill>
              <w14:schemeClr w14:val="tx1"/>
            </w14:solidFill>
          </w14:textFill>
        </w:rPr>
        <w:t>人技术人员，进行故障信息的收集反馈、现场工作沟通等，推进故障修复。</w:t>
      </w:r>
    </w:p>
    <w:p w14:paraId="57B41DA1">
      <w:pPr>
        <w:snapToGrid w:val="0"/>
        <w:spacing w:line="360" w:lineRule="auto"/>
        <w:ind w:firstLine="560" w:firstLineChars="200"/>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远程无法解决，经协商需要现场解决的，</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提供现场支持服务。在项目约定的到场时限、恢复时限内完成故障修复工作。</w:t>
      </w:r>
    </w:p>
    <w:p w14:paraId="19747DA2">
      <w:pPr>
        <w:pStyle w:val="35"/>
        <w:spacing w:line="360"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如在该项目约定的修复时限内不能修复故障的，应在项目约定的换修时限内，提供不低于同档次备用设备，不影响</w:t>
      </w:r>
      <w:r>
        <w:rPr>
          <w:rFonts w:hint="eastAsia" w:ascii="仿宋_GB2312" w:hAnsi="仿宋_GB2312" w:eastAsia="仿宋_GB2312" w:cs="仿宋_GB2312"/>
          <w:color w:val="000000" w:themeColor="text1"/>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sz w:val="28"/>
          <w:szCs w:val="28"/>
          <w:highlight w:val="none"/>
          <w14:textFill>
            <w14:solidFill>
              <w14:schemeClr w14:val="tx1"/>
            </w14:solidFill>
          </w14:textFill>
        </w:rPr>
        <w:t>人使用。</w:t>
      </w:r>
    </w:p>
    <w:p w14:paraId="2D38FA69">
      <w:pPr>
        <w:pStyle w:val="3"/>
        <w:tabs>
          <w:tab w:val="left" w:pos="170"/>
          <w:tab w:val="left" w:pos="576"/>
        </w:tabs>
        <w:autoSpaceDE w:val="0"/>
        <w:autoSpaceDN w:val="0"/>
        <w:snapToGrid/>
        <w:spacing w:before="156" w:beforeLines="0" w:after="156" w:afterLines="0" w:line="276" w:lineRule="auto"/>
        <w:ind w:hanging="425"/>
        <w:jc w:val="left"/>
        <w:rPr>
          <w:rFonts w:ascii="仿宋_GB2312" w:hAnsi="仿宋_GB2312" w:cs="仿宋_GB2312"/>
          <w:color w:val="000000" w:themeColor="text1"/>
          <w:sz w:val="28"/>
          <w:szCs w:val="28"/>
          <w:highlight w:val="none"/>
          <w14:textFill>
            <w14:solidFill>
              <w14:schemeClr w14:val="tx1"/>
            </w14:solidFill>
          </w14:textFill>
        </w:rPr>
      </w:pPr>
      <w:bookmarkStart w:id="228" w:name="_Toc148348889"/>
      <w:bookmarkStart w:id="229" w:name="_Toc31042"/>
      <w:bookmarkStart w:id="230" w:name="_Toc167698334"/>
      <w:bookmarkStart w:id="231" w:name="_Toc20917"/>
      <w:bookmarkStart w:id="232" w:name="_Toc426"/>
      <w:bookmarkStart w:id="233" w:name="_Toc26134"/>
      <w:r>
        <w:rPr>
          <w:rFonts w:hint="eastAsia" w:ascii="仿宋_GB2312" w:hAnsi="仿宋_GB2312" w:cs="仿宋_GB2312"/>
          <w:color w:val="000000" w:themeColor="text1"/>
          <w:sz w:val="28"/>
          <w:szCs w:val="28"/>
          <w:highlight w:val="none"/>
          <w14:textFill>
            <w14:solidFill>
              <w14:schemeClr w14:val="tx1"/>
            </w14:solidFill>
          </w14:textFill>
        </w:rPr>
        <w:t>紧急事件的处理</w:t>
      </w:r>
      <w:bookmarkEnd w:id="228"/>
      <w:bookmarkEnd w:id="229"/>
      <w:bookmarkEnd w:id="230"/>
      <w:bookmarkEnd w:id="231"/>
      <w:bookmarkEnd w:id="232"/>
      <w:bookmarkEnd w:id="233"/>
    </w:p>
    <w:p w14:paraId="7AD32A51">
      <w:pPr>
        <w:pStyle w:val="35"/>
        <w:spacing w:line="276" w:lineRule="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应提供故障排除服务，须在接到故障报警后24小时内提供解决方案，如遇到非人为造成的硬件故障，</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应免费提供更换服务。 </w:t>
      </w:r>
    </w:p>
    <w:p w14:paraId="051DAAC3">
      <w:pPr>
        <w:pStyle w:val="3"/>
        <w:tabs>
          <w:tab w:val="left" w:pos="170"/>
          <w:tab w:val="left" w:pos="576"/>
        </w:tabs>
        <w:autoSpaceDE w:val="0"/>
        <w:autoSpaceDN w:val="0"/>
        <w:snapToGrid/>
        <w:spacing w:before="156" w:beforeLines="0" w:after="156" w:afterLines="0" w:line="276" w:lineRule="auto"/>
        <w:ind w:hanging="425"/>
        <w:jc w:val="left"/>
        <w:rPr>
          <w:rFonts w:ascii="仿宋_GB2312" w:hAnsi="仿宋_GB2312" w:cs="仿宋_GB2312"/>
          <w:color w:val="000000" w:themeColor="text1"/>
          <w:sz w:val="28"/>
          <w:szCs w:val="28"/>
          <w:highlight w:val="none"/>
          <w14:textFill>
            <w14:solidFill>
              <w14:schemeClr w14:val="tx1"/>
            </w14:solidFill>
          </w14:textFill>
        </w:rPr>
      </w:pPr>
      <w:bookmarkStart w:id="234" w:name="_Toc2402"/>
      <w:bookmarkStart w:id="235" w:name="_Toc148348890"/>
      <w:bookmarkStart w:id="236" w:name="_Toc7710"/>
      <w:bookmarkStart w:id="237" w:name="_Toc10023"/>
      <w:bookmarkStart w:id="238" w:name="_Toc167698335"/>
      <w:bookmarkStart w:id="239" w:name="_Toc4060968"/>
      <w:bookmarkStart w:id="240" w:name="_Toc3743"/>
      <w:r>
        <w:rPr>
          <w:rFonts w:hint="eastAsia" w:ascii="仿宋_GB2312" w:hAnsi="仿宋_GB2312" w:cs="仿宋_GB2312"/>
          <w:color w:val="000000" w:themeColor="text1"/>
          <w:sz w:val="28"/>
          <w:szCs w:val="28"/>
          <w:highlight w:val="none"/>
          <w14:textFill>
            <w14:solidFill>
              <w14:schemeClr w14:val="tx1"/>
            </w14:solidFill>
          </w14:textFill>
        </w:rPr>
        <w:t>技术文件与培训服务</w:t>
      </w:r>
      <w:bookmarkEnd w:id="234"/>
      <w:bookmarkEnd w:id="235"/>
      <w:bookmarkEnd w:id="236"/>
      <w:bookmarkEnd w:id="237"/>
      <w:bookmarkEnd w:id="238"/>
      <w:bookmarkEnd w:id="239"/>
      <w:bookmarkEnd w:id="240"/>
    </w:p>
    <w:p w14:paraId="35D8C9DA">
      <w:pPr>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应按照</w:t>
      </w:r>
      <w:r>
        <w:rPr>
          <w:rFonts w:hint="eastAsia" w:ascii="仿宋_GB2312" w:hAnsi="仿宋_GB2312" w:eastAsia="仿宋_GB2312" w:cs="仿宋_GB2312"/>
          <w:color w:val="000000" w:themeColor="text1"/>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sz w:val="28"/>
          <w:szCs w:val="28"/>
          <w:highlight w:val="none"/>
          <w14:textFill>
            <w14:solidFill>
              <w14:schemeClr w14:val="tx1"/>
            </w14:solidFill>
          </w14:textFill>
        </w:rPr>
        <w:t>人要求安排相关人员免费提供产品技术培训。其他服务还应包括免费的人员培训、现场测试培训、设备部署督导调试适配服务以及协助完成设备升级服务等。</w:t>
      </w:r>
    </w:p>
    <w:bookmarkEnd w:id="215"/>
    <w:p w14:paraId="254302EB">
      <w:pPr>
        <w:pStyle w:val="3"/>
        <w:tabs>
          <w:tab w:val="left" w:pos="170"/>
          <w:tab w:val="left" w:pos="576"/>
        </w:tabs>
        <w:autoSpaceDE w:val="0"/>
        <w:autoSpaceDN w:val="0"/>
        <w:snapToGrid/>
        <w:spacing w:before="156" w:beforeLines="0" w:after="156" w:afterLines="0" w:line="276" w:lineRule="auto"/>
        <w:ind w:hanging="426"/>
        <w:jc w:val="left"/>
        <w:rPr>
          <w:rFonts w:ascii="仿宋_GB2312" w:hAnsi="仿宋_GB2312" w:cs="仿宋_GB2312"/>
          <w:color w:val="000000" w:themeColor="text1"/>
          <w:sz w:val="28"/>
          <w:szCs w:val="28"/>
          <w:highlight w:val="none"/>
          <w14:textFill>
            <w14:solidFill>
              <w14:schemeClr w14:val="tx1"/>
            </w14:solidFill>
          </w14:textFill>
        </w:rPr>
      </w:pPr>
      <w:bookmarkStart w:id="241" w:name="_Toc5141"/>
      <w:bookmarkStart w:id="242" w:name="_Toc15103"/>
      <w:bookmarkStart w:id="243" w:name="_Toc148348891"/>
      <w:bookmarkStart w:id="244" w:name="_Toc2820"/>
      <w:bookmarkStart w:id="245" w:name="_Toc167698336"/>
      <w:bookmarkStart w:id="246" w:name="_Toc27295"/>
      <w:bookmarkStart w:id="247" w:name="_Toc21615990"/>
      <w:r>
        <w:rPr>
          <w:rFonts w:hint="eastAsia" w:ascii="仿宋_GB2312" w:hAnsi="仿宋_GB2312" w:cs="仿宋_GB2312"/>
          <w:color w:val="000000" w:themeColor="text1"/>
          <w:sz w:val="28"/>
          <w:szCs w:val="28"/>
          <w:highlight w:val="none"/>
          <w14:textFill>
            <w14:solidFill>
              <w14:schemeClr w14:val="tx1"/>
            </w14:solidFill>
          </w14:textFill>
        </w:rPr>
        <w:t>保修与维修服务</w:t>
      </w:r>
      <w:bookmarkEnd w:id="241"/>
      <w:bookmarkEnd w:id="242"/>
      <w:bookmarkEnd w:id="243"/>
      <w:bookmarkEnd w:id="244"/>
      <w:bookmarkEnd w:id="245"/>
      <w:bookmarkEnd w:id="246"/>
    </w:p>
    <w:p w14:paraId="2486F6FB">
      <w:pPr>
        <w:pStyle w:val="35"/>
        <w:spacing w:line="276" w:lineRule="auto"/>
        <w:ind w:firstLine="560" w:firstLineChars="200"/>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1、★保修期时间：投标方提供为期36个月的原厂免费保修和免费技术支持。自签署试验品到货验收合格证书之日起第二日起算。</w:t>
      </w:r>
    </w:p>
    <w:p w14:paraId="06C2881D">
      <w:pPr>
        <w:pStyle w:val="35"/>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2、保修与维修具体要求：</w:t>
      </w:r>
    </w:p>
    <w:p w14:paraId="093A4637">
      <w:pPr>
        <w:pStyle w:val="35"/>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保修期内，</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提供智算版5G专网一体机的产品保修，能够按照</w:t>
      </w:r>
      <w:r>
        <w:rPr>
          <w:rFonts w:hint="eastAsia" w:ascii="仿宋_GB2312" w:hAnsi="仿宋_GB2312" w:eastAsia="仿宋_GB2312" w:cs="仿宋_GB2312"/>
          <w:color w:val="000000" w:themeColor="text1"/>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sz w:val="28"/>
          <w:szCs w:val="28"/>
          <w:highlight w:val="none"/>
          <w14:textFill>
            <w14:solidFill>
              <w14:schemeClr w14:val="tx1"/>
            </w14:solidFill>
          </w14:textFill>
        </w:rPr>
        <w:t>人要求及时、迅速的完成设备返修任务。</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对产品运行过程中出现的故障指派专业技术人员进行排除，对出现非人为原因造成故障的部件、元件或零件免费进行修理或更换。</w:t>
      </w:r>
    </w:p>
    <w:bookmarkEnd w:id="247"/>
    <w:p w14:paraId="50E99228">
      <w:pPr>
        <w:pStyle w:val="35"/>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保修期内，对保修范围内非人为因素造成的物质损耗和人员费用，均由</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投标</w:t>
      </w:r>
      <w:r>
        <w:rPr>
          <w:rFonts w:hint="eastAsia" w:ascii="仿宋_GB2312" w:hAnsi="仿宋_GB2312" w:eastAsia="仿宋_GB2312" w:cs="仿宋_GB2312"/>
          <w:color w:val="000000" w:themeColor="text1"/>
          <w:sz w:val="28"/>
          <w:szCs w:val="28"/>
          <w:highlight w:val="none"/>
          <w14:textFill>
            <w14:solidFill>
              <w14:schemeClr w14:val="tx1"/>
            </w14:solidFill>
          </w14:textFill>
        </w:rPr>
        <w:t>方</w:t>
      </w:r>
      <w:r>
        <w:rPr>
          <w:rFonts w:hint="eastAsia" w:ascii="仿宋_GB2312" w:hAnsi="仿宋_GB2312" w:eastAsia="仿宋_GB2312" w:cs="仿宋_GB2312"/>
          <w:color w:val="000000" w:themeColor="text1"/>
          <w:sz w:val="28"/>
          <w:szCs w:val="28"/>
          <w:highlight w:val="none"/>
          <w14:textFill>
            <w14:solidFill>
              <w14:schemeClr w14:val="tx1"/>
            </w14:solidFill>
          </w14:textFill>
        </w:rPr>
        <w:t>予以承担。</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未及时承担保修责任的，</w:t>
      </w:r>
      <w:r>
        <w:rPr>
          <w:rFonts w:hint="eastAsia" w:ascii="仿宋_GB2312" w:hAnsi="仿宋_GB2312" w:eastAsia="仿宋_GB2312" w:cs="仿宋_GB2312"/>
          <w:color w:val="000000" w:themeColor="text1"/>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sz w:val="28"/>
          <w:szCs w:val="28"/>
          <w:highlight w:val="none"/>
          <w14:textFill>
            <w14:solidFill>
              <w14:schemeClr w14:val="tx1"/>
            </w14:solidFill>
          </w14:textFill>
        </w:rPr>
        <w:t>人有权采用其他渠道和方式对货物进行维修，由此产生的费用由</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承担。对因货物在保修期间发生的质量缺陷造成的</w:t>
      </w:r>
      <w:r>
        <w:rPr>
          <w:rFonts w:hint="eastAsia" w:ascii="仿宋_GB2312" w:hAnsi="仿宋_GB2312" w:eastAsia="仿宋_GB2312" w:cs="仿宋_GB2312"/>
          <w:color w:val="000000" w:themeColor="text1"/>
          <w:sz w:val="28"/>
          <w:szCs w:val="28"/>
          <w:highlight w:val="none"/>
          <w14:textFill>
            <w14:solidFill>
              <w14:schemeClr w14:val="tx1"/>
            </w14:solidFill>
          </w14:textFill>
        </w:rPr>
        <w:t>招标</w:t>
      </w:r>
      <w:r>
        <w:rPr>
          <w:rFonts w:hint="eastAsia" w:ascii="仿宋_GB2312" w:hAnsi="仿宋_GB2312" w:eastAsia="仿宋_GB2312" w:cs="仿宋_GB2312"/>
          <w:color w:val="000000" w:themeColor="text1"/>
          <w:sz w:val="28"/>
          <w:szCs w:val="28"/>
          <w:highlight w:val="none"/>
          <w14:textFill>
            <w14:solidFill>
              <w14:schemeClr w14:val="tx1"/>
            </w14:solidFill>
          </w14:textFill>
        </w:rPr>
        <w:t>人和/或第三人财产和/或人身损失，</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应予以赔偿。</w:t>
      </w:r>
    </w:p>
    <w:p w14:paraId="5573342D">
      <w:pPr>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保修期满后，</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投标方</w:t>
      </w:r>
      <w:r>
        <w:rPr>
          <w:rFonts w:hint="eastAsia" w:ascii="仿宋_GB2312" w:hAnsi="仿宋_GB2312" w:eastAsia="仿宋_GB2312" w:cs="仿宋_GB2312"/>
          <w:color w:val="000000" w:themeColor="text1"/>
          <w:sz w:val="28"/>
          <w:szCs w:val="28"/>
          <w:highlight w:val="none"/>
          <w14:textFill>
            <w14:solidFill>
              <w14:schemeClr w14:val="tx1"/>
            </w14:solidFill>
          </w14:textFill>
        </w:rPr>
        <w:t>保证对发生故障的合同设备按照元器件成本价维修和技术服务。</w:t>
      </w:r>
    </w:p>
    <w:p w14:paraId="418EFDB8">
      <w:pPr>
        <w:pStyle w:val="2"/>
        <w:keepLines w:val="0"/>
        <w:widowControl/>
        <w:tabs>
          <w:tab w:val="left" w:pos="170"/>
        </w:tabs>
        <w:spacing w:before="0" w:after="0" w:line="276" w:lineRule="auto"/>
        <w:jc w:val="left"/>
        <w:rPr>
          <w:rFonts w:ascii="仿宋_GB2312" w:hAnsi="仿宋_GB2312" w:cs="仿宋_GB2312"/>
          <w:color w:val="000000" w:themeColor="text1"/>
          <w:szCs w:val="28"/>
          <w:highlight w:val="none"/>
          <w14:textFill>
            <w14:solidFill>
              <w14:schemeClr w14:val="tx1"/>
            </w14:solidFill>
          </w14:textFill>
        </w:rPr>
      </w:pPr>
      <w:bookmarkStart w:id="248" w:name="_Toc30012"/>
      <w:bookmarkStart w:id="249" w:name="_Toc148348894"/>
      <w:bookmarkStart w:id="250" w:name="_Toc167698338"/>
      <w:bookmarkStart w:id="251" w:name="_Toc27252"/>
      <w:bookmarkStart w:id="252" w:name="_Toc13599"/>
      <w:bookmarkStart w:id="253" w:name="_Toc10803"/>
      <w:r>
        <w:rPr>
          <w:rFonts w:hint="eastAsia" w:ascii="仿宋_GB2312" w:hAnsi="仿宋_GB2312" w:cs="仿宋_GB2312"/>
          <w:color w:val="000000" w:themeColor="text1"/>
          <w:szCs w:val="28"/>
          <w:highlight w:val="none"/>
          <w14:textFill>
            <w14:solidFill>
              <w14:schemeClr w14:val="tx1"/>
            </w14:solidFill>
          </w14:textFill>
        </w:rPr>
        <w:t>其他要求</w:t>
      </w:r>
      <w:bookmarkEnd w:id="248"/>
      <w:bookmarkEnd w:id="249"/>
      <w:bookmarkEnd w:id="250"/>
      <w:bookmarkEnd w:id="251"/>
      <w:bookmarkEnd w:id="252"/>
      <w:bookmarkEnd w:id="253"/>
    </w:p>
    <w:p w14:paraId="22281765">
      <w:pPr>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★本项目代工产品及其所有技术文档等所有权由招标人完全独有，未经招标人许可，投标人不得将招标人相关资料提供给任何第三方，或利用招标人的相关资料生产和销售产品给第三方。</w:t>
      </w:r>
    </w:p>
    <w:p w14:paraId="4897C7DA">
      <w:pPr>
        <w:spacing w:line="276" w:lineRule="auto"/>
        <w:ind w:firstLine="560" w:firstLineChars="200"/>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在质保期内，若</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w:t>
      </w:r>
      <w:r>
        <w:rPr>
          <w:rFonts w:hint="eastAsia" w:ascii="仿宋_GB2312" w:hAnsi="仿宋_GB2312" w:eastAsia="仿宋_GB2312" w:cs="仿宋_GB2312"/>
          <w:color w:val="000000" w:themeColor="text1"/>
          <w:sz w:val="28"/>
          <w:szCs w:val="28"/>
          <w:highlight w:val="none"/>
          <w14:textFill>
            <w14:solidFill>
              <w14:schemeClr w14:val="tx1"/>
            </w14:solidFill>
          </w14:textFill>
        </w:rPr>
        <w:t>方提供的电源等原配件在应用过程中因产品质量问题出现爆炸等各类安全事故（非人为因素），造成人员伤亡及经济损失，</w:t>
      </w:r>
      <w:r>
        <w:rPr>
          <w:rFonts w:hint="eastAsia" w:ascii="仿宋_GB2312" w:hAnsi="仿宋_GB2312" w:eastAsia="仿宋_GB2312" w:cs="仿宋_GB2312"/>
          <w:color w:val="000000" w:themeColor="text1"/>
          <w:sz w:val="28"/>
          <w:szCs w:val="28"/>
          <w:highlight w:val="none"/>
          <w14:textFill>
            <w14:solidFill>
              <w14:schemeClr w14:val="tx1"/>
            </w14:solidFill>
          </w14:textFill>
        </w:rPr>
        <w:t>投标</w:t>
      </w:r>
      <w:r>
        <w:rPr>
          <w:rFonts w:hint="eastAsia" w:ascii="仿宋_GB2312" w:hAnsi="仿宋_GB2312" w:eastAsia="仿宋_GB2312" w:cs="仿宋_GB2312"/>
          <w:color w:val="000000" w:themeColor="text1"/>
          <w:sz w:val="28"/>
          <w:szCs w:val="28"/>
          <w:highlight w:val="none"/>
          <w14:textFill>
            <w14:solidFill>
              <w14:schemeClr w14:val="tx1"/>
            </w14:solidFill>
          </w14:textFill>
        </w:rPr>
        <w:t>方应承担全部责任。</w:t>
      </w:r>
    </w:p>
    <w:bookmarkEnd w:id="94"/>
    <w:bookmarkEnd w:id="95"/>
    <w:p w14:paraId="4A5AF37B">
      <w:pPr>
        <w:pStyle w:val="2"/>
        <w:spacing w:line="276" w:lineRule="auto"/>
        <w:rPr>
          <w:rFonts w:ascii="仿宋_GB2312" w:hAnsi="仿宋_GB2312" w:cs="仿宋_GB2312"/>
          <w:bCs/>
          <w:color w:val="000000" w:themeColor="text1"/>
          <w:szCs w:val="28"/>
          <w:highlight w:val="none"/>
          <w14:textFill>
            <w14:solidFill>
              <w14:schemeClr w14:val="tx1"/>
            </w14:solidFill>
          </w14:textFill>
        </w:rPr>
      </w:pPr>
      <w:bookmarkStart w:id="254" w:name="_Toc20123"/>
      <w:bookmarkStart w:id="255" w:name="_Toc32171"/>
      <w:bookmarkStart w:id="256" w:name="_Toc25738"/>
      <w:bookmarkStart w:id="257" w:name="_Toc23351"/>
      <w:r>
        <w:rPr>
          <w:rFonts w:hint="eastAsia" w:ascii="仿宋_GB2312" w:hAnsi="仿宋_GB2312" w:cs="仿宋_GB2312"/>
          <w:bCs/>
          <w:color w:val="000000" w:themeColor="text1"/>
          <w:szCs w:val="28"/>
          <w:highlight w:val="none"/>
          <w14:textFill>
            <w14:solidFill>
              <w14:schemeClr w14:val="tx1"/>
            </w14:solidFill>
          </w14:textFill>
        </w:rPr>
        <w:t>附录：各单元主要物料</w:t>
      </w:r>
      <w:bookmarkEnd w:id="254"/>
      <w:bookmarkEnd w:id="255"/>
      <w:bookmarkEnd w:id="256"/>
      <w:bookmarkEnd w:id="257"/>
    </w:p>
    <w:p w14:paraId="0D12E08B">
      <w:pPr>
        <w:rPr>
          <w:rFonts w:ascii="方正仿宋_GB2312" w:hAnsi="方正仿宋_GB2312" w:eastAsia="方正仿宋_GB2312" w:cs="方正仿宋_GB2312"/>
          <w:color w:val="000000" w:themeColor="text1"/>
          <w:sz w:val="28"/>
          <w:szCs w:val="28"/>
          <w:highlight w:val="none"/>
          <w14:textFill>
            <w14:solidFill>
              <w14:schemeClr w14:val="tx1"/>
            </w14:solidFill>
          </w14:textFill>
        </w:rPr>
      </w:pPr>
      <w:r>
        <w:rPr>
          <w:rFonts w:hint="eastAsia" w:ascii="方正仿宋_GB2312" w:hAnsi="方正仿宋_GB2312" w:eastAsia="方正仿宋_GB2312" w:cs="方正仿宋_GB2312"/>
          <w:bCs/>
          <w:color w:val="000000" w:themeColor="text1"/>
          <w:sz w:val="28"/>
          <w:szCs w:val="28"/>
          <w:highlight w:val="none"/>
          <w14:textFill>
            <w14:solidFill>
              <w14:schemeClr w14:val="tx1"/>
            </w14:solidFill>
          </w14:textFill>
        </w:rPr>
        <w:t>智算版</w:t>
      </w:r>
      <w:r>
        <w:rPr>
          <w:rFonts w:ascii="方正仿宋_GB2312" w:hAnsi="方正仿宋_GB2312" w:eastAsia="方正仿宋_GB2312" w:cs="方正仿宋_GB2312"/>
          <w:bCs/>
          <w:color w:val="000000" w:themeColor="text1"/>
          <w:sz w:val="28"/>
          <w:szCs w:val="28"/>
          <w:highlight w:val="none"/>
          <w14:textFill>
            <w14:solidFill>
              <w14:schemeClr w14:val="tx1"/>
            </w14:solidFill>
          </w14:textFill>
        </w:rPr>
        <w:t>5G</w:t>
      </w:r>
      <w:r>
        <w:rPr>
          <w:rFonts w:hint="eastAsia" w:ascii="方正仿宋_GB2312" w:hAnsi="方正仿宋_GB2312" w:eastAsia="方正仿宋_GB2312" w:cs="方正仿宋_GB2312"/>
          <w:bCs/>
          <w:color w:val="000000" w:themeColor="text1"/>
          <w:sz w:val="28"/>
          <w:szCs w:val="28"/>
          <w:highlight w:val="none"/>
          <w14:textFill>
            <w14:solidFill>
              <w14:schemeClr w14:val="tx1"/>
            </w14:solidFill>
          </w14:textFill>
        </w:rPr>
        <w:t>专网一体机</w:t>
      </w:r>
    </w:p>
    <w:tbl>
      <w:tblPr>
        <w:tblStyle w:val="18"/>
        <w:tblW w:w="5000" w:type="pct"/>
        <w:tblInd w:w="0" w:type="dxa"/>
        <w:tblLayout w:type="fixed"/>
        <w:tblCellMar>
          <w:top w:w="0" w:type="dxa"/>
          <w:left w:w="108" w:type="dxa"/>
          <w:bottom w:w="0" w:type="dxa"/>
          <w:right w:w="108" w:type="dxa"/>
        </w:tblCellMar>
      </w:tblPr>
      <w:tblGrid>
        <w:gridCol w:w="500"/>
        <w:gridCol w:w="1247"/>
        <w:gridCol w:w="3932"/>
        <w:gridCol w:w="1873"/>
        <w:gridCol w:w="507"/>
        <w:gridCol w:w="462"/>
      </w:tblGrid>
      <w:tr w14:paraId="6200D761">
        <w:tblPrEx>
          <w:tblCellMar>
            <w:top w:w="0" w:type="dxa"/>
            <w:left w:w="108" w:type="dxa"/>
            <w:bottom w:w="0" w:type="dxa"/>
            <w:right w:w="108" w:type="dxa"/>
          </w:tblCellMar>
        </w:tblPrEx>
        <w:trPr>
          <w:trHeight w:val="632"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0EC0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序号</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DE0A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大类</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095A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型号</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8EDD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厂家</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0AD8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数量</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E9DA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单位</w:t>
            </w:r>
          </w:p>
        </w:tc>
      </w:tr>
      <w:tr w14:paraId="154A9221">
        <w:tblPrEx>
          <w:tblCellMar>
            <w:top w:w="0" w:type="dxa"/>
            <w:left w:w="108" w:type="dxa"/>
            <w:bottom w:w="0" w:type="dxa"/>
            <w:right w:w="108" w:type="dxa"/>
          </w:tblCellMar>
        </w:tblPrEx>
        <w:trPr>
          <w:trHeight w:val="690"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FA0E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5BF0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电源芯片</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DE8C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IS6608A、IS6630A、SCT9431FSA、SCT2230TVBR、SCT2250FPAR、SY81020VDC</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88C96">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长工微、芯洲科技、矽力杰</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BCAD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78E3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套</w:t>
            </w:r>
          </w:p>
        </w:tc>
      </w:tr>
      <w:tr w14:paraId="7E7040DE">
        <w:tblPrEx>
          <w:tblCellMar>
            <w:top w:w="0" w:type="dxa"/>
            <w:left w:w="108" w:type="dxa"/>
            <w:bottom w:w="0" w:type="dxa"/>
            <w:right w:w="108" w:type="dxa"/>
          </w:tblCellMar>
        </w:tblPrEx>
        <w:trPr>
          <w:trHeight w:val="690"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B97F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8FFD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接口芯片</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10BE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TJF1051T/3、SIT3485EUA、YT9215SCH</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77FE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NXP、芯力特、裕太车通</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7684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3553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套</w:t>
            </w:r>
          </w:p>
        </w:tc>
      </w:tr>
      <w:tr w14:paraId="0A276168">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72D7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3</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4244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时钟芯片</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7A01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NCS</w:t>
            </w: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233C5、NCS25D34、6V49205BNLGI</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8F326">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新港海岸、RENESAS</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AA13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4787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套</w:t>
            </w:r>
          </w:p>
        </w:tc>
      </w:tr>
      <w:tr w14:paraId="7A46E32C">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5322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4</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212E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CPU</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B682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LX2160</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A8DC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NXP</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F21C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26B9D">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片</w:t>
            </w:r>
          </w:p>
        </w:tc>
      </w:tr>
      <w:tr w14:paraId="6E8C7D72">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BFC6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5</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8AD9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基带芯片</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8E7E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PC802</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4375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比科奇</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A35D6">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C496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片</w:t>
            </w:r>
          </w:p>
        </w:tc>
      </w:tr>
      <w:tr w14:paraId="212F7090">
        <w:tblPrEx>
          <w:tblCellMar>
            <w:top w:w="0" w:type="dxa"/>
            <w:left w:w="108" w:type="dxa"/>
            <w:bottom w:w="0" w:type="dxa"/>
            <w:right w:w="108" w:type="dxa"/>
          </w:tblCellMar>
        </w:tblPrEx>
        <w:trPr>
          <w:trHeight w:val="690"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2C72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6</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03D6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存储器</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7C6B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W25Q128JWSIQ、BL24C64A-SFRC</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9EF3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Winbond、上海贝岭</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AF78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84C9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片</w:t>
            </w:r>
          </w:p>
        </w:tc>
      </w:tr>
      <w:tr w14:paraId="76822ACB">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4732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7</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10B3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FLASH</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C640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HSEMSDS6D2B128G</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E87E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HIKSEMI</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B9A0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A327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片</w:t>
            </w:r>
          </w:p>
        </w:tc>
      </w:tr>
      <w:tr w14:paraId="2FE80F50">
        <w:tblPrEx>
          <w:tblCellMar>
            <w:top w:w="0" w:type="dxa"/>
            <w:left w:w="108" w:type="dxa"/>
            <w:bottom w:w="0" w:type="dxa"/>
            <w:right w:w="108" w:type="dxa"/>
          </w:tblCellMar>
        </w:tblPrEx>
        <w:trPr>
          <w:trHeight w:val="316"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2D17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8</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B618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DDR</w:t>
            </w: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4</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91E2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K4AAG165WA-BIWE</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608B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三星</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7094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CA9A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块</w:t>
            </w:r>
          </w:p>
        </w:tc>
      </w:tr>
      <w:tr w14:paraId="3E8199D7">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5026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9</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520D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LPDDR4</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AB60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CXDB4CBAM-MK-A</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A57E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长鑫</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6D91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83BE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片</w:t>
            </w:r>
          </w:p>
        </w:tc>
      </w:tr>
      <w:tr w14:paraId="09680ABD">
        <w:tblPrEx>
          <w:tblCellMar>
            <w:top w:w="0" w:type="dxa"/>
            <w:left w:w="108" w:type="dxa"/>
            <w:bottom w:w="0" w:type="dxa"/>
            <w:right w:w="108" w:type="dxa"/>
          </w:tblCellMar>
        </w:tblPrEx>
        <w:trPr>
          <w:trHeight w:val="103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F767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10</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9C40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逻辑芯片</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E1626">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SN74LVC2GU04DCKR、AIP74LVC1G11GC363.TR、AiP74AVC2T45YA8.TR</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9423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TI、I-CORE</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AF7E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BAFC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片</w:t>
            </w:r>
          </w:p>
        </w:tc>
      </w:tr>
      <w:tr w14:paraId="0A295675">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614D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11</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5B4D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Transceiver</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8D1D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CMRI8676</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4370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中国移动</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7A9C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293F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片</w:t>
            </w:r>
          </w:p>
        </w:tc>
      </w:tr>
      <w:tr w14:paraId="4B0AA30B">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842F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12</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5CC4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温度传感芯片</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C934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CT7318MR、TMP102AIDRLR、BMSM014/60</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D76A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TI、SENSYLINK、BORN</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AC4C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E32C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套</w:t>
            </w:r>
          </w:p>
        </w:tc>
      </w:tr>
      <w:tr w14:paraId="6BDEF14B">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13AC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13</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8E8B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北斗模块</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4F5E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L76K</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1230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移远</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9CE0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211B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片</w:t>
            </w:r>
          </w:p>
        </w:tc>
      </w:tr>
      <w:tr w14:paraId="130ACBFD">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3ED5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14</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A1AB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单口千兆PHY_YT8531SH</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37FC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YT8531SH</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4FEA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裕太车通</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A5DD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3</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EEFE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片</w:t>
            </w:r>
          </w:p>
        </w:tc>
      </w:tr>
      <w:tr w14:paraId="06B7A96F">
        <w:tblPrEx>
          <w:tblCellMar>
            <w:top w:w="0" w:type="dxa"/>
            <w:left w:w="108" w:type="dxa"/>
            <w:bottom w:w="0" w:type="dxa"/>
            <w:right w:w="108" w:type="dxa"/>
          </w:tblCellMar>
        </w:tblPrEx>
        <w:trPr>
          <w:trHeight w:val="690"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0C41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15</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9025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二极管、三极管</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FAA5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LM3Z16VT1G、1N4148W、LDTC143ZET1G、KMBT3904、KMBT3906、P3500SC-R35</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5066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LRC、Kexin、Brightking、Jiejie Microelectronics</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7DE5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9854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套</w:t>
            </w:r>
          </w:p>
        </w:tc>
      </w:tr>
      <w:tr w14:paraId="59B22BBA">
        <w:tblPrEx>
          <w:tblCellMar>
            <w:top w:w="0" w:type="dxa"/>
            <w:left w:w="108" w:type="dxa"/>
            <w:bottom w:w="0" w:type="dxa"/>
            <w:right w:w="108" w:type="dxa"/>
          </w:tblCellMar>
        </w:tblPrEx>
        <w:trPr>
          <w:trHeight w:val="690"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2D7B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16</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68B1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接插件、连接器</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56AB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DF40C-100DS-0.4V(51)、Z-83220S00AJB00、FWF25012-S04S22W1B、FWF20005-D08S22W5B、FWF20005-D12S22W5B</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82A5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HRS(广濑)</w:t>
            </w: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、正凌、TXGA</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74DC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DF34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套</w:t>
            </w:r>
          </w:p>
        </w:tc>
      </w:tr>
      <w:tr w14:paraId="1320DADC">
        <w:tblPrEx>
          <w:tblCellMar>
            <w:top w:w="0" w:type="dxa"/>
            <w:left w:w="108" w:type="dxa"/>
            <w:bottom w:w="0" w:type="dxa"/>
            <w:right w:w="108" w:type="dxa"/>
          </w:tblCellMar>
        </w:tblPrEx>
        <w:trPr>
          <w:trHeight w:val="103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527F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17</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0297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数字板PCB</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5621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DYUB-6203-A2 PCB，单板尺寸300x180x2.0mm，拼板尺寸300x180x2.0mm，1拼板，12层板，FR4板材</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F185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深南、超声</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0FBE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57A1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块</w:t>
            </w:r>
          </w:p>
        </w:tc>
      </w:tr>
      <w:tr w14:paraId="69A0671C">
        <w:tblPrEx>
          <w:tblCellMar>
            <w:top w:w="0" w:type="dxa"/>
            <w:left w:w="108" w:type="dxa"/>
            <w:bottom w:w="0" w:type="dxa"/>
            <w:right w:w="108" w:type="dxa"/>
          </w:tblCellMar>
        </w:tblPrEx>
        <w:trPr>
          <w:trHeight w:val="690"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0205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18</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4C87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 xml:space="preserve"> DC-6GHz 110W RSMP 直式PCB射频插座</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2C2A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RSMP-L-JHD49</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F3D9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瑞可达</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9E79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F0B0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2B14135B">
        <w:tblPrEx>
          <w:tblCellMar>
            <w:top w:w="0" w:type="dxa"/>
            <w:left w:w="108" w:type="dxa"/>
            <w:bottom w:w="0" w:type="dxa"/>
            <w:right w:w="108" w:type="dxa"/>
          </w:tblCellMar>
        </w:tblPrEx>
        <w:trPr>
          <w:trHeight w:val="690"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2C20D">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19</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7591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 xml:space="preserve"> DC‐6GHz 200W WSMP直式PCB插座</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2AD3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WSMP-S-JHD21</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C4AC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瑞可达</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25D1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4534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539CC0ED">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3A6E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20</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9267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散热屏蔽罩下盖</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726E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散热屏蔽罩下盖，尺寸120*130mm，材质AL6061</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B57F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正维</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025D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B7EE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1B5C278B">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CAEF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21</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E18FD">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功放PCB</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4D12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罗杰斯高频信号板，6层数，尺寸148*135mm</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DDDB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超声、深南</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1565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A2C2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块</w:t>
            </w:r>
          </w:p>
        </w:tc>
      </w:tr>
      <w:tr w14:paraId="40C8C453">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36BD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22</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6ACF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GaN射频功率放大器</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BB1C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SMAV4850-55</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DA81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远创达</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6B47D">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4C63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片</w:t>
            </w:r>
          </w:p>
        </w:tc>
      </w:tr>
      <w:tr w14:paraId="0231C1C5">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FD02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23</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B87E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散热屏蔽罩上盖</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149F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散热屏蔽罩上盖，186*216，材质 AL6061</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5428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同尔</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CA9F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F2B1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51F0BB33">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BE8C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24</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8EA9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射频连接器</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CC0C8">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RSMP-KK-11.35、 WSMP-KK-13.8</w:t>
            </w:r>
          </w:p>
          <w:p w14:paraId="5AD91C1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WSMP-L-JWFB3-1</w:t>
            </w:r>
            <w:bookmarkStart w:id="258" w:name="_GoBack"/>
            <w:bookmarkEnd w:id="258"/>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C098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瑞可达</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3624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796D6">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套</w:t>
            </w:r>
          </w:p>
        </w:tc>
      </w:tr>
      <w:tr w14:paraId="5698DAD0">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F7B8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25</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A321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低噪声放大器</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7686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X110D</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E16E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重庆西南集成电路</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1077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A3B4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片</w:t>
            </w:r>
          </w:p>
        </w:tc>
      </w:tr>
      <w:tr w14:paraId="520073FC">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9008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26</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599D6">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吸收负载</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A470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RFR50N-25CT0337B</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F220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禹龙通</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DA92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8588D">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片</w:t>
            </w:r>
          </w:p>
        </w:tc>
      </w:tr>
      <w:tr w14:paraId="750E5D4C">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E8AA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27</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0FAA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耦合器</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AE66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DC40K20</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099A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研通高频</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7E77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D005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片</w:t>
            </w:r>
          </w:p>
        </w:tc>
      </w:tr>
      <w:tr w14:paraId="6B7BA848">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6CA9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28</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A601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环形器</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C5CD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H3B092</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8758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华扬</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F5BA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D8F1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片</w:t>
            </w:r>
          </w:p>
        </w:tc>
      </w:tr>
      <w:tr w14:paraId="04F6442D">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E1F4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29</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B26E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环形器</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5522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H3A763</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2E82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华扬</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3D53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71C4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片</w:t>
            </w:r>
          </w:p>
        </w:tc>
      </w:tr>
      <w:tr w14:paraId="65C59C2A">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64DE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30</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E3CB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射频开关</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B367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TS8423K</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8A2B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深圳市泰高技术有限公司</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1C0F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043D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片</w:t>
            </w:r>
          </w:p>
        </w:tc>
      </w:tr>
      <w:tr w14:paraId="769C9C88">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7BE8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31</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1339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电源连接器弯脚插座</w:t>
            </w:r>
            <w:r>
              <w:rPr>
                <w:rStyle w:val="39"/>
                <w:rFonts w:hint="default" w:ascii="仿宋_GB2312" w:hAnsi="仿宋_GB2312" w:eastAsia="仿宋_GB2312" w:cs="仿宋_GB2312"/>
                <w:color w:val="000000" w:themeColor="text1"/>
                <w:sz w:val="21"/>
                <w:szCs w:val="21"/>
                <w:highlight w:val="none"/>
                <w:lang w:bidi="ar"/>
                <w14:textFill>
                  <w14:solidFill>
                    <w14:schemeClr w14:val="tx1"/>
                  </w14:solidFill>
                </w14:textFill>
              </w:rPr>
              <w:t>5.08</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7E70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KF2EDGKM-3.5-7P</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D08B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科发</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6298D">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148D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11D62733">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7B8D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32</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ACEF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12btit 8路DAC</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C438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TPC112S8-TR</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D666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3PEAK</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0404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8202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片</w:t>
            </w:r>
          </w:p>
        </w:tc>
      </w:tr>
      <w:tr w14:paraId="7AD47A41">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F82B6">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33</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C8E2D">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检测器</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C456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ARW22347</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CFA0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安其威</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FAAC6">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647D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片</w:t>
            </w:r>
          </w:p>
        </w:tc>
      </w:tr>
      <w:tr w14:paraId="5BD55FC9">
        <w:tblPrEx>
          <w:tblCellMar>
            <w:top w:w="0" w:type="dxa"/>
            <w:left w:w="108" w:type="dxa"/>
            <w:bottom w:w="0" w:type="dxa"/>
            <w:right w:w="108" w:type="dxa"/>
          </w:tblCellMar>
        </w:tblPrEx>
        <w:trPr>
          <w:trHeight w:val="103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6A2E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34</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F549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二极管、三极管等外围器件</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B9E5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1P1G3157QDCKRQ1、GD32E230C8T6、SIPM0402A-3R3M、302-2S/B-10P(F)黑、RB521S-30-SOD523</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EBE6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TI、GD、艾申迪、南士、杨杰电子</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EF5F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C257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套</w:t>
            </w:r>
          </w:p>
        </w:tc>
      </w:tr>
      <w:tr w14:paraId="0ABFDD45">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93DC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35</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615F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数字板电源</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9CF0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LOF225-20B15-C</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5C5E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金升阳</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D2F2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F22D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668E63F1">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262D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36</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F69E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功放散热铜板</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BF62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紫铜、钝化，定制尺寸30*27*2.5MM</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622D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德可信</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70FF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C337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64C6BD81">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4A7A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37</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E179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功放板电源模块</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0AD0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LOF225-20B48-C</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AF78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金升阳</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692B6">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61AA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6F84655F">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989F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38</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A5B9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光通信模块</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DA9B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10Gpbs</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7B36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凯通鑫</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BB4E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A6E5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5B9021A6">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6E5C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39</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3FEF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内置算力卡</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4831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RK</w:t>
            </w: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3588算力卡</w:t>
            </w: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w:t>
            </w: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16</w:t>
            </w: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G内存</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B965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飞凌</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5543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4796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块</w:t>
            </w:r>
          </w:p>
        </w:tc>
      </w:tr>
      <w:tr w14:paraId="1534DAA0">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3C8A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40</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7940D">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滤波器</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1A56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F4900V5</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A60BD">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康讯通</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8656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F4E6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7DA98822">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D272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41</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7670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4G模组</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AE35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EC</w:t>
            </w: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800M</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3087D">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移远</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8152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CA17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2AC807CA">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3CA0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42</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1BCE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SSD固态硬盘</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422F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mSATA固态硬盘</w:t>
            </w: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2</w:t>
            </w: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T</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ADE3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GEIL</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E82C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1492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37B3912B">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70F4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43</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E957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4G模组天线</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DF4C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SMA-ipex4 4G天线</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9FE3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共进</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1A56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1043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64B48E3D">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EF29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44</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FCDF6">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防水屏蔽胶条</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5D9D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ECC-A-B32-363-0000</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A74F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深圳市牛商技术有限公司</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20A8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079E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套</w:t>
            </w:r>
          </w:p>
        </w:tc>
      </w:tr>
      <w:tr w14:paraId="44C99387">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D728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45</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B97A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转接线</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414A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网线转2.0MM线头</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A8E8D">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亿通</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5332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D10D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根</w:t>
            </w:r>
          </w:p>
        </w:tc>
      </w:tr>
      <w:tr w14:paraId="2F88CACA">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3F7CD">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46</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685D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固定件</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CC72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交换机固定结构，尺寸3mm*20mm，材质铜</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723C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同尔</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2733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3</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1969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7847B1B0">
        <w:tblPrEx>
          <w:tblCellMar>
            <w:top w:w="0" w:type="dxa"/>
            <w:left w:w="108" w:type="dxa"/>
            <w:bottom w:w="0" w:type="dxa"/>
            <w:right w:w="108" w:type="dxa"/>
          </w:tblCellMar>
        </w:tblPrEx>
        <w:trPr>
          <w:trHeight w:val="690"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2005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47</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D971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射频连接线</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FC9D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射频线，功放滤波器，功放bbu，射频连接器:sma转mcx，长度480mm</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B48A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增信</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1DC2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85BC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根</w:t>
            </w:r>
          </w:p>
        </w:tc>
      </w:tr>
      <w:tr w14:paraId="6590D9D8">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4B5E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48</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A9B1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功放电源线缆</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A641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功放电源线，atom2＊4，长度300mm</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3AC0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亿通</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4000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47D0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根</w:t>
            </w:r>
          </w:p>
        </w:tc>
      </w:tr>
      <w:tr w14:paraId="0426D77E">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C90F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49</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743B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功放控制线缆</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E174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功放控制线，ph2＊5，长度300mm</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3068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亿通</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1802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91D0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根</w:t>
            </w:r>
          </w:p>
        </w:tc>
      </w:tr>
      <w:tr w14:paraId="6F2D7082">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FD4B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50</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7290B">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GPS天线</w:t>
            </w: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接头</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8EF2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GPS天线头，N转MCX</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B64F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增信</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6AB8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9F1A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6676B1D9">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34E9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51</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ED5FD">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射频线缆</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CB5D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2根天线，1根GPS，N头</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E1CB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增信</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7B78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3</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0061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根</w:t>
            </w:r>
          </w:p>
        </w:tc>
      </w:tr>
      <w:tr w14:paraId="4CAF7F8F">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9D66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52</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2E2E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灯导光柱</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E0E31">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灯导光柱</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1D4C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同尔</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DE0C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5</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A468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480CAEEC">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33BC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53</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8807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外壳</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7CC0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铸铝外壳，铝合金，295*395*165mm</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C390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迈纬</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C484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FC396">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5BA2FC6E">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96DD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54</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41FF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包材</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48DB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整机包装,材质:瓦楞纸，E楞，400*500*300mm</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E015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裕同</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BC06D">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A6DF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2C26C599">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0797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55</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399C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EPE泡棉2</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C2636">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25KG每立方米EPE，定制尺寸610*510*200MM</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CA2DE">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旭坚包装</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36EA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2673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套</w:t>
            </w:r>
          </w:p>
        </w:tc>
      </w:tr>
      <w:tr w14:paraId="2E86DA19">
        <w:tblPrEx>
          <w:tblCellMar>
            <w:top w:w="0" w:type="dxa"/>
            <w:left w:w="108" w:type="dxa"/>
            <w:bottom w:w="0" w:type="dxa"/>
            <w:right w:w="108" w:type="dxa"/>
          </w:tblCellMar>
        </w:tblPrEx>
        <w:trPr>
          <w:trHeight w:val="690"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FD93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56</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935F6">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安装支架</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5EB9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 xml:space="preserve">挂墙安装支架，冷轧钢板 喷涂户外粉，295*80mm x2  </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73D8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迈纬</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8823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C6D57">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7DDE5E52">
        <w:tblPrEx>
          <w:tblCellMar>
            <w:top w:w="0" w:type="dxa"/>
            <w:left w:w="108" w:type="dxa"/>
            <w:bottom w:w="0" w:type="dxa"/>
            <w:right w:w="108" w:type="dxa"/>
          </w:tblCellMar>
        </w:tblPrEx>
        <w:trPr>
          <w:trHeight w:val="690"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9ED8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57</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6690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BBU 散热底板</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A115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含铝块、热管、CPU铜块，AL6061材质，尺寸 216*186mm</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589F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格曼斯</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F04D0">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CB4DD">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11413D0D">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311FD">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58</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4041C">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3588算力卡散热器</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C588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铝合金散热器，AL6061材质，尺寸110*70mm</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7CA4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格曼斯</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51838">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88B9A">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个</w:t>
            </w:r>
          </w:p>
        </w:tc>
      </w:tr>
      <w:tr w14:paraId="23E345CC">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B4C4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59</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61C7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贴片及通用物料</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BFF69">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数字板SMT贴片及阻容感</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243B6">
            <w:pPr>
              <w:jc w:val="center"/>
              <w:rPr>
                <w:rFonts w:ascii="仿宋_GB2312" w:hAnsi="仿宋_GB2312" w:eastAsia="仿宋_GB2312" w:cs="仿宋_GB2312"/>
                <w:color w:val="000000" w:themeColor="text1"/>
                <w:sz w:val="21"/>
                <w:szCs w:val="21"/>
                <w:highlight w:val="none"/>
                <w14:textFill>
                  <w14:solidFill>
                    <w14:schemeClr w14:val="tx1"/>
                  </w14:solidFill>
                </w14:textFill>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41632">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74CA4">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套</w:t>
            </w:r>
          </w:p>
        </w:tc>
      </w:tr>
      <w:tr w14:paraId="1EA57676">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C510F">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60</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61EB5">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贴片及通用物料</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C06DD">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功放板SMT贴片及阻容感</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AE4E9">
            <w:pPr>
              <w:jc w:val="center"/>
              <w:rPr>
                <w:rFonts w:ascii="仿宋_GB2312" w:hAnsi="仿宋_GB2312" w:eastAsia="仿宋_GB2312" w:cs="仿宋_GB2312"/>
                <w:color w:val="000000" w:themeColor="text1"/>
                <w:sz w:val="21"/>
                <w:szCs w:val="21"/>
                <w:highlight w:val="none"/>
                <w14:textFill>
                  <w14:solidFill>
                    <w14:schemeClr w14:val="tx1"/>
                  </w14:solidFill>
                </w14:textFill>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BC8C6">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EB223">
            <w:pPr>
              <w:widowControl/>
              <w:jc w:val="center"/>
              <w:textAlignment w:val="center"/>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套</w:t>
            </w:r>
          </w:p>
        </w:tc>
      </w:tr>
      <w:tr w14:paraId="1453206F">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2690B">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61</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397EE">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功放屏蔽罩模具费分摊</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6AEC9">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模具费分摊</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A7DE4">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FF0D5">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933B7">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套</w:t>
            </w:r>
          </w:p>
        </w:tc>
      </w:tr>
      <w:tr w14:paraId="30E4A579">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152EA">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62</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11DC9">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腔体滤波器模具费分摊</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65605">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模具费分摊</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8F8F1">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91873">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0D73A">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套</w:t>
            </w:r>
          </w:p>
        </w:tc>
      </w:tr>
      <w:tr w14:paraId="78421297">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7BF42">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63</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50084">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机箱模具费分摊</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356DE">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模具费分摊</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3F7AE">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77F30">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FE86D">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套</w:t>
            </w:r>
          </w:p>
        </w:tc>
      </w:tr>
      <w:tr w14:paraId="3C02715B">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3A20E">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64</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7B01E">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导光柱等塑料件模具费分摊</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0D930">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模具费分摊</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03D91">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F4296">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EA748">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套</w:t>
            </w:r>
          </w:p>
        </w:tc>
      </w:tr>
      <w:tr w14:paraId="7E2D8CE6">
        <w:tblPrEx>
          <w:tblCellMar>
            <w:top w:w="0" w:type="dxa"/>
            <w:left w:w="108" w:type="dxa"/>
            <w:bottom w:w="0" w:type="dxa"/>
            <w:right w:w="108" w:type="dxa"/>
          </w:tblCellMar>
        </w:tblPrEx>
        <w:trPr>
          <w:trHeight w:val="345" w:hRule="atLeast"/>
        </w:trPr>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8C912">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65</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13FCF">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整机组装及测试</w:t>
            </w:r>
          </w:p>
        </w:tc>
        <w:tc>
          <w:tcPr>
            <w:tcW w:w="2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B463A">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生产加工、钢网、组装工具及测试仪器分摊</w:t>
            </w:r>
          </w:p>
        </w:tc>
        <w:tc>
          <w:tcPr>
            <w:tcW w:w="10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A64E1">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EAC50">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04C03">
            <w:pPr>
              <w:widowControl/>
              <w:jc w:val="center"/>
              <w:textAlignment w:val="center"/>
              <w:rPr>
                <w:rFonts w:ascii="仿宋_GB2312" w:hAnsi="仿宋_GB2312" w:eastAsia="仿宋_GB2312" w:cs="仿宋_GB2312"/>
                <w:color w:val="000000" w:themeColor="text1"/>
                <w:kern w:val="0"/>
                <w:sz w:val="21"/>
                <w:szCs w:val="21"/>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bidi="ar"/>
                <w14:textFill>
                  <w14:solidFill>
                    <w14:schemeClr w14:val="tx1"/>
                  </w14:solidFill>
                </w14:textFill>
              </w:rPr>
              <w:t>套</w:t>
            </w:r>
          </w:p>
        </w:tc>
      </w:tr>
    </w:tbl>
    <w:p w14:paraId="1509D81B">
      <w:pPr>
        <w:spacing w:line="276" w:lineRule="auto"/>
        <w:rPr>
          <w:rFonts w:ascii="仿宋_GB2312" w:hAnsi="仿宋_GB2312" w:eastAsia="仿宋_GB2312" w:cs="仿宋_GB2312"/>
          <w:snapToGrid w:val="0"/>
          <w:color w:val="000000" w:themeColor="text1"/>
          <w:kern w:val="0"/>
          <w:sz w:val="28"/>
          <w:szCs w:val="28"/>
          <w:highlight w:val="none"/>
          <w14:textFill>
            <w14:solidFill>
              <w14:schemeClr w14:val="tx1"/>
            </w14:solidFill>
          </w14:textFill>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5543F7-0A5C-48E3-BA93-E0C7F6B6B35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F80D0CC-9DBA-4F6B-9BE1-2A5C71A6B0BC}"/>
  </w:font>
  <w:font w:name="仿宋">
    <w:panose1 w:val="02010609060101010101"/>
    <w:charset w:val="86"/>
    <w:family w:val="modern"/>
    <w:pitch w:val="default"/>
    <w:sig w:usb0="800002BF" w:usb1="38CF7CFA" w:usb2="00000016" w:usb3="00000000" w:csb0="00040001" w:csb1="00000000"/>
    <w:embedRegular r:id="rId3" w:fontKey="{9C64D226-776A-498A-9050-D815DE5DC429}"/>
  </w:font>
  <w:font w:name="仿宋_GB2312">
    <w:panose1 w:val="02010609030101010101"/>
    <w:charset w:val="86"/>
    <w:family w:val="modern"/>
    <w:pitch w:val="default"/>
    <w:sig w:usb0="00000001" w:usb1="080E0000" w:usb2="00000000" w:usb3="00000000" w:csb0="00040000" w:csb1="00000000"/>
    <w:embedRegular r:id="rId4" w:fontKey="{3229A7DF-C7F3-4C9C-98F6-2A063F78DA6F}"/>
  </w:font>
  <w:font w:name="长城仿宋">
    <w:altName w:val="黑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仿宋_GB2312">
    <w:altName w:val="仿宋"/>
    <w:panose1 w:val="00000000000000000000"/>
    <w:charset w:val="86"/>
    <w:family w:val="auto"/>
    <w:pitch w:val="default"/>
    <w:sig w:usb0="00000000" w:usb1="00000000" w:usb2="00000012" w:usb3="00000000" w:csb0="00040001" w:csb1="00000000"/>
    <w:embedRegular r:id="rId5" w:fontKey="{70304F08-7BF0-4DDA-AC07-8416EAB76F73}"/>
  </w:font>
  <w:font w:name="WPSEMBED1">
    <w:panose1 w:val="02010609030101010101"/>
    <w:charset w:val="86"/>
    <w:family w:val="auto"/>
    <w:pitch w:val="default"/>
    <w:sig w:usb0="00000001" w:usb1="080E0000" w:usb2="00000000" w:usb3="00000000" w:csb0="00040000" w:csb1="00000000"/>
  </w:font>
  <w:font w:name="KSOFE8852770">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F2D54">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7C25C1">
                          <w:pPr>
                            <w:pStyle w:val="12"/>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77C25C1">
                    <w:pPr>
                      <w:pStyle w:val="12"/>
                    </w:pPr>
                    <w:r>
                      <w:fldChar w:fldCharType="begin"/>
                    </w:r>
                    <w:r>
                      <w:instrText xml:space="preserve"> PAGE  \* MERGEFORMAT </w:instrText>
                    </w:r>
                    <w:r>
                      <w:fldChar w:fldCharType="separate"/>
                    </w:r>
                    <w:r>
                      <w:t>15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7C947">
    <w:pPr>
      <w:pStyle w:val="13"/>
      <w:jc w:val="center"/>
    </w:pPr>
    <w:r>
      <w:drawing>
        <wp:inline distT="0" distB="0" distL="114300" distR="114300">
          <wp:extent cx="670560" cy="327660"/>
          <wp:effectExtent l="0" t="0" r="1524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670560" cy="32766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4A4872"/>
    <w:multiLevelType w:val="multilevel"/>
    <w:tmpl w:val="074A4872"/>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0CA77C2D"/>
    <w:multiLevelType w:val="multilevel"/>
    <w:tmpl w:val="0CA77C2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ascii="仿宋" w:hAnsi="仿宋" w:eastAsia="仿宋" w:cs="仿宋"/>
        <w:sz w:val="24"/>
        <w:szCs w:val="24"/>
      </w:rPr>
    </w:lvl>
    <w:lvl w:ilvl="2" w:tentative="0">
      <w:start w:val="1"/>
      <w:numFmt w:val="decimal"/>
      <w:lvlText w:val="%1.%2.%3."/>
      <w:lvlJc w:val="left"/>
      <w:pPr>
        <w:ind w:left="720" w:hanging="720"/>
      </w:pPr>
      <w:rPr>
        <w:rFonts w:hint="default" w:ascii="仿宋" w:hAnsi="仿宋" w:eastAsia="仿宋" w:cs="仿宋"/>
        <w:b/>
        <w:bCs/>
        <w:sz w:val="24"/>
        <w:szCs w:val="24"/>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2">
    <w:nsid w:val="315E0D14"/>
    <w:multiLevelType w:val="multilevel"/>
    <w:tmpl w:val="315E0D14"/>
    <w:lvl w:ilvl="0" w:tentative="0">
      <w:start w:val="1"/>
      <w:numFmt w:val="bullet"/>
      <w:lvlText w:val=""/>
      <w:lvlJc w:val="left"/>
      <w:pPr>
        <w:ind w:left="987" w:hanging="420"/>
      </w:pPr>
      <w:rPr>
        <w:rFonts w:hint="default" w:ascii="Wingdings" w:hAnsi="Wingdings"/>
      </w:rPr>
    </w:lvl>
    <w:lvl w:ilvl="1" w:tentative="0">
      <w:start w:val="1"/>
      <w:numFmt w:val="bullet"/>
      <w:lvlText w:val=""/>
      <w:lvlJc w:val="left"/>
      <w:pPr>
        <w:ind w:left="1407" w:hanging="420"/>
      </w:pPr>
      <w:rPr>
        <w:rFonts w:hint="default" w:ascii="Wingdings" w:hAnsi="Wingdings"/>
      </w:rPr>
    </w:lvl>
    <w:lvl w:ilvl="2" w:tentative="0">
      <w:start w:val="1"/>
      <w:numFmt w:val="bullet"/>
      <w:lvlText w:val=""/>
      <w:lvlJc w:val="left"/>
      <w:pPr>
        <w:ind w:left="1827" w:hanging="420"/>
      </w:pPr>
      <w:rPr>
        <w:rFonts w:hint="default" w:ascii="Wingdings" w:hAnsi="Wingdings"/>
      </w:rPr>
    </w:lvl>
    <w:lvl w:ilvl="3" w:tentative="0">
      <w:start w:val="1"/>
      <w:numFmt w:val="bullet"/>
      <w:lvlText w:val=""/>
      <w:lvlJc w:val="left"/>
      <w:pPr>
        <w:ind w:left="2247" w:hanging="420"/>
      </w:pPr>
      <w:rPr>
        <w:rFonts w:hint="default" w:ascii="Wingdings" w:hAnsi="Wingdings"/>
      </w:rPr>
    </w:lvl>
    <w:lvl w:ilvl="4" w:tentative="0">
      <w:start w:val="1"/>
      <w:numFmt w:val="bullet"/>
      <w:lvlText w:val=""/>
      <w:lvlJc w:val="left"/>
      <w:pPr>
        <w:ind w:left="2667" w:hanging="420"/>
      </w:pPr>
      <w:rPr>
        <w:rFonts w:hint="default" w:ascii="Wingdings" w:hAnsi="Wingdings"/>
      </w:rPr>
    </w:lvl>
    <w:lvl w:ilvl="5" w:tentative="0">
      <w:start w:val="1"/>
      <w:numFmt w:val="bullet"/>
      <w:lvlText w:val=""/>
      <w:lvlJc w:val="left"/>
      <w:pPr>
        <w:ind w:left="3087" w:hanging="420"/>
      </w:pPr>
      <w:rPr>
        <w:rFonts w:hint="default" w:ascii="Wingdings" w:hAnsi="Wingdings"/>
      </w:rPr>
    </w:lvl>
    <w:lvl w:ilvl="6" w:tentative="0">
      <w:start w:val="1"/>
      <w:numFmt w:val="bullet"/>
      <w:lvlText w:val=""/>
      <w:lvlJc w:val="left"/>
      <w:pPr>
        <w:ind w:left="3507" w:hanging="420"/>
      </w:pPr>
      <w:rPr>
        <w:rFonts w:hint="default" w:ascii="Wingdings" w:hAnsi="Wingdings"/>
      </w:rPr>
    </w:lvl>
    <w:lvl w:ilvl="7" w:tentative="0">
      <w:start w:val="1"/>
      <w:numFmt w:val="bullet"/>
      <w:lvlText w:val=""/>
      <w:lvlJc w:val="left"/>
      <w:pPr>
        <w:ind w:left="3927" w:hanging="420"/>
      </w:pPr>
      <w:rPr>
        <w:rFonts w:hint="default" w:ascii="Wingdings" w:hAnsi="Wingdings"/>
      </w:rPr>
    </w:lvl>
    <w:lvl w:ilvl="8" w:tentative="0">
      <w:start w:val="1"/>
      <w:numFmt w:val="bullet"/>
      <w:lvlText w:val=""/>
      <w:lvlJc w:val="left"/>
      <w:pPr>
        <w:ind w:left="4347" w:hanging="42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mZTQwZjgwNGQ5NmMzZDQ3NDJlM2Y4NjUxNGMzZTQifQ=="/>
  </w:docVars>
  <w:rsids>
    <w:rsidRoot w:val="00172A27"/>
    <w:rsid w:val="00172A27"/>
    <w:rsid w:val="001D7058"/>
    <w:rsid w:val="00220BBF"/>
    <w:rsid w:val="004B1432"/>
    <w:rsid w:val="00655CC1"/>
    <w:rsid w:val="0068053E"/>
    <w:rsid w:val="006A597F"/>
    <w:rsid w:val="006C0341"/>
    <w:rsid w:val="00786894"/>
    <w:rsid w:val="00822A76"/>
    <w:rsid w:val="00831639"/>
    <w:rsid w:val="00876E63"/>
    <w:rsid w:val="008C5DA7"/>
    <w:rsid w:val="0094493E"/>
    <w:rsid w:val="00954AA7"/>
    <w:rsid w:val="009766F7"/>
    <w:rsid w:val="009A4CA9"/>
    <w:rsid w:val="009A5857"/>
    <w:rsid w:val="009C2C86"/>
    <w:rsid w:val="00A42061"/>
    <w:rsid w:val="00A57F2A"/>
    <w:rsid w:val="00B55BA2"/>
    <w:rsid w:val="00B8106A"/>
    <w:rsid w:val="00BA51F6"/>
    <w:rsid w:val="00BA5D8E"/>
    <w:rsid w:val="00C0322E"/>
    <w:rsid w:val="00C0611D"/>
    <w:rsid w:val="00C9757B"/>
    <w:rsid w:val="00DB4CC6"/>
    <w:rsid w:val="00DF7002"/>
    <w:rsid w:val="00F834FD"/>
    <w:rsid w:val="00FF608C"/>
    <w:rsid w:val="01453A14"/>
    <w:rsid w:val="02733980"/>
    <w:rsid w:val="02DB72DE"/>
    <w:rsid w:val="04161698"/>
    <w:rsid w:val="047A1C27"/>
    <w:rsid w:val="04A36A19"/>
    <w:rsid w:val="04A910C4"/>
    <w:rsid w:val="04BF763A"/>
    <w:rsid w:val="051E6510"/>
    <w:rsid w:val="052E66F6"/>
    <w:rsid w:val="05905F8A"/>
    <w:rsid w:val="05DB756B"/>
    <w:rsid w:val="06F51A39"/>
    <w:rsid w:val="089C4B49"/>
    <w:rsid w:val="094A671E"/>
    <w:rsid w:val="096D1D5A"/>
    <w:rsid w:val="0A095986"/>
    <w:rsid w:val="0A134A7B"/>
    <w:rsid w:val="0B8E5E80"/>
    <w:rsid w:val="0BB07C1C"/>
    <w:rsid w:val="0BE4441B"/>
    <w:rsid w:val="0C880C59"/>
    <w:rsid w:val="0CEE31B2"/>
    <w:rsid w:val="108D1597"/>
    <w:rsid w:val="10E647F0"/>
    <w:rsid w:val="11464F71"/>
    <w:rsid w:val="12062D4C"/>
    <w:rsid w:val="12450788"/>
    <w:rsid w:val="1280573E"/>
    <w:rsid w:val="13EB0DED"/>
    <w:rsid w:val="14EC3C3A"/>
    <w:rsid w:val="16702E8A"/>
    <w:rsid w:val="16A550C0"/>
    <w:rsid w:val="16F41D80"/>
    <w:rsid w:val="175D340E"/>
    <w:rsid w:val="1794684C"/>
    <w:rsid w:val="17E72CD8"/>
    <w:rsid w:val="18A1578B"/>
    <w:rsid w:val="19313F4E"/>
    <w:rsid w:val="1C275DC2"/>
    <w:rsid w:val="1CFA1282"/>
    <w:rsid w:val="1CFF0AC4"/>
    <w:rsid w:val="1D943902"/>
    <w:rsid w:val="1DA33B45"/>
    <w:rsid w:val="1DAD0520"/>
    <w:rsid w:val="1DC87E5A"/>
    <w:rsid w:val="1DFE521F"/>
    <w:rsid w:val="1E5E181A"/>
    <w:rsid w:val="1E874C50"/>
    <w:rsid w:val="1ED0096A"/>
    <w:rsid w:val="20DB7CA6"/>
    <w:rsid w:val="21016D56"/>
    <w:rsid w:val="21A06EBB"/>
    <w:rsid w:val="22B51054"/>
    <w:rsid w:val="230D1784"/>
    <w:rsid w:val="23985936"/>
    <w:rsid w:val="23E65C64"/>
    <w:rsid w:val="24724271"/>
    <w:rsid w:val="25271766"/>
    <w:rsid w:val="25302162"/>
    <w:rsid w:val="254E083A"/>
    <w:rsid w:val="256D04C5"/>
    <w:rsid w:val="25A16BBC"/>
    <w:rsid w:val="26630315"/>
    <w:rsid w:val="26AF4980"/>
    <w:rsid w:val="270F5DA7"/>
    <w:rsid w:val="27575B98"/>
    <w:rsid w:val="275E3D03"/>
    <w:rsid w:val="27B70019"/>
    <w:rsid w:val="28B704A4"/>
    <w:rsid w:val="28CF2DF1"/>
    <w:rsid w:val="28E6741A"/>
    <w:rsid w:val="28FE4AC1"/>
    <w:rsid w:val="2957559F"/>
    <w:rsid w:val="299F78B6"/>
    <w:rsid w:val="2A0911D4"/>
    <w:rsid w:val="2ABD085E"/>
    <w:rsid w:val="2BDE6A57"/>
    <w:rsid w:val="2C0D6190"/>
    <w:rsid w:val="2C173427"/>
    <w:rsid w:val="2CB339D8"/>
    <w:rsid w:val="2CC87124"/>
    <w:rsid w:val="2D1C0921"/>
    <w:rsid w:val="2D5538DD"/>
    <w:rsid w:val="2E5844D8"/>
    <w:rsid w:val="2ED00512"/>
    <w:rsid w:val="2ED16BF2"/>
    <w:rsid w:val="2F5C3A6D"/>
    <w:rsid w:val="310A286E"/>
    <w:rsid w:val="31246A17"/>
    <w:rsid w:val="317962A9"/>
    <w:rsid w:val="31BD2D2D"/>
    <w:rsid w:val="322A618B"/>
    <w:rsid w:val="328B3A1A"/>
    <w:rsid w:val="33C52638"/>
    <w:rsid w:val="33D63B68"/>
    <w:rsid w:val="33DF2C3F"/>
    <w:rsid w:val="343A2DE5"/>
    <w:rsid w:val="347656B7"/>
    <w:rsid w:val="34CD4264"/>
    <w:rsid w:val="352C54EC"/>
    <w:rsid w:val="354033DE"/>
    <w:rsid w:val="3609765F"/>
    <w:rsid w:val="36DB4A35"/>
    <w:rsid w:val="375B3FD0"/>
    <w:rsid w:val="386E4949"/>
    <w:rsid w:val="391159AF"/>
    <w:rsid w:val="3A8B6907"/>
    <w:rsid w:val="3B644E9E"/>
    <w:rsid w:val="3C1063F2"/>
    <w:rsid w:val="3C67671E"/>
    <w:rsid w:val="3CE147B1"/>
    <w:rsid w:val="3D632215"/>
    <w:rsid w:val="3E332998"/>
    <w:rsid w:val="3E3A7756"/>
    <w:rsid w:val="3EEA3F4A"/>
    <w:rsid w:val="3F7D5B4C"/>
    <w:rsid w:val="400E0E9A"/>
    <w:rsid w:val="406E7B8B"/>
    <w:rsid w:val="40D20119"/>
    <w:rsid w:val="411E350B"/>
    <w:rsid w:val="41C0497B"/>
    <w:rsid w:val="4253776D"/>
    <w:rsid w:val="43AE09CA"/>
    <w:rsid w:val="440C0AB6"/>
    <w:rsid w:val="450F206A"/>
    <w:rsid w:val="45401AF6"/>
    <w:rsid w:val="459B53AB"/>
    <w:rsid w:val="46206E3D"/>
    <w:rsid w:val="471B1015"/>
    <w:rsid w:val="47F61661"/>
    <w:rsid w:val="48566623"/>
    <w:rsid w:val="49C32CF5"/>
    <w:rsid w:val="49EE74B0"/>
    <w:rsid w:val="4A395142"/>
    <w:rsid w:val="4A45195C"/>
    <w:rsid w:val="4A55267E"/>
    <w:rsid w:val="4B105AC6"/>
    <w:rsid w:val="4B217CD3"/>
    <w:rsid w:val="4BD15B55"/>
    <w:rsid w:val="4C517BDB"/>
    <w:rsid w:val="4D541C7C"/>
    <w:rsid w:val="4D854137"/>
    <w:rsid w:val="4D992CBB"/>
    <w:rsid w:val="4F5006E3"/>
    <w:rsid w:val="501F312A"/>
    <w:rsid w:val="510A48ED"/>
    <w:rsid w:val="514F4E6E"/>
    <w:rsid w:val="5292555D"/>
    <w:rsid w:val="54615FA6"/>
    <w:rsid w:val="549534E0"/>
    <w:rsid w:val="55400F22"/>
    <w:rsid w:val="56033726"/>
    <w:rsid w:val="569F71F7"/>
    <w:rsid w:val="56D007FF"/>
    <w:rsid w:val="57B11E20"/>
    <w:rsid w:val="57C540DC"/>
    <w:rsid w:val="57F77F07"/>
    <w:rsid w:val="5801432C"/>
    <w:rsid w:val="58667ABC"/>
    <w:rsid w:val="595264EC"/>
    <w:rsid w:val="59614092"/>
    <w:rsid w:val="5A0F46E5"/>
    <w:rsid w:val="5B14010B"/>
    <w:rsid w:val="5B867FE0"/>
    <w:rsid w:val="5BAA5AC3"/>
    <w:rsid w:val="5BFD2097"/>
    <w:rsid w:val="5D694891"/>
    <w:rsid w:val="5EDE1EBB"/>
    <w:rsid w:val="6004283B"/>
    <w:rsid w:val="601B3A99"/>
    <w:rsid w:val="601E2222"/>
    <w:rsid w:val="60AB0EE7"/>
    <w:rsid w:val="60B227E0"/>
    <w:rsid w:val="60B94264"/>
    <w:rsid w:val="60E27AAD"/>
    <w:rsid w:val="612113BF"/>
    <w:rsid w:val="61903065"/>
    <w:rsid w:val="640566CC"/>
    <w:rsid w:val="64212D54"/>
    <w:rsid w:val="6448324A"/>
    <w:rsid w:val="65830ED7"/>
    <w:rsid w:val="658E1FB1"/>
    <w:rsid w:val="65E322FD"/>
    <w:rsid w:val="65FE5FFE"/>
    <w:rsid w:val="663F65AB"/>
    <w:rsid w:val="67B706A0"/>
    <w:rsid w:val="682B6308"/>
    <w:rsid w:val="6897117D"/>
    <w:rsid w:val="68CB0E27"/>
    <w:rsid w:val="694C1F68"/>
    <w:rsid w:val="69A26ACD"/>
    <w:rsid w:val="69AD5394"/>
    <w:rsid w:val="69B83AA1"/>
    <w:rsid w:val="69EC5011"/>
    <w:rsid w:val="6A571F04"/>
    <w:rsid w:val="6A5A4B58"/>
    <w:rsid w:val="6B642942"/>
    <w:rsid w:val="6B8E3B36"/>
    <w:rsid w:val="6BCA0CBA"/>
    <w:rsid w:val="6BD4713C"/>
    <w:rsid w:val="6C416427"/>
    <w:rsid w:val="6C50395A"/>
    <w:rsid w:val="6C747034"/>
    <w:rsid w:val="6CE150BD"/>
    <w:rsid w:val="6EC27017"/>
    <w:rsid w:val="6EFC7F8C"/>
    <w:rsid w:val="6FDE58E3"/>
    <w:rsid w:val="6FFF5CCE"/>
    <w:rsid w:val="702C0448"/>
    <w:rsid w:val="70616B28"/>
    <w:rsid w:val="70A81773"/>
    <w:rsid w:val="7121017E"/>
    <w:rsid w:val="72966949"/>
    <w:rsid w:val="72C84E5C"/>
    <w:rsid w:val="72E23AB9"/>
    <w:rsid w:val="733C0CC6"/>
    <w:rsid w:val="73522870"/>
    <w:rsid w:val="735A5A4F"/>
    <w:rsid w:val="73812CFD"/>
    <w:rsid w:val="73F27B6C"/>
    <w:rsid w:val="743D29B3"/>
    <w:rsid w:val="74771491"/>
    <w:rsid w:val="74BF5CE3"/>
    <w:rsid w:val="74F41F65"/>
    <w:rsid w:val="752039A4"/>
    <w:rsid w:val="75B5687A"/>
    <w:rsid w:val="75E654F2"/>
    <w:rsid w:val="76775D4E"/>
    <w:rsid w:val="76FA74A7"/>
    <w:rsid w:val="77866F8C"/>
    <w:rsid w:val="77D5581E"/>
    <w:rsid w:val="780D14A6"/>
    <w:rsid w:val="78225ECA"/>
    <w:rsid w:val="78EF13EB"/>
    <w:rsid w:val="790846E1"/>
    <w:rsid w:val="793D18CD"/>
    <w:rsid w:val="798564B4"/>
    <w:rsid w:val="7A4A24F3"/>
    <w:rsid w:val="7AB83901"/>
    <w:rsid w:val="7B0E4D7A"/>
    <w:rsid w:val="7E044866"/>
    <w:rsid w:val="7E2F0A73"/>
    <w:rsid w:val="7EB65E72"/>
    <w:rsid w:val="7EC42C09"/>
    <w:rsid w:val="7F431281"/>
    <w:rsid w:val="7F7F2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tabs>
        <w:tab w:val="left" w:pos="432"/>
      </w:tabs>
      <w:spacing w:before="120" w:after="120" w:line="360" w:lineRule="auto"/>
      <w:outlineLvl w:val="0"/>
    </w:pPr>
    <w:rPr>
      <w:rFonts w:ascii="Times New Roman" w:hAnsi="Times New Roman" w:eastAsia="仿宋_GB2312"/>
      <w:b/>
      <w:sz w:val="28"/>
      <w:szCs w:val="20"/>
    </w:rPr>
  </w:style>
  <w:style w:type="paragraph" w:styleId="3">
    <w:name w:val="heading 2"/>
    <w:basedOn w:val="1"/>
    <w:next w:val="1"/>
    <w:qFormat/>
    <w:uiPriority w:val="0"/>
    <w:pPr>
      <w:keepNext/>
      <w:keepLines/>
      <w:numPr>
        <w:ilvl w:val="1"/>
        <w:numId w:val="1"/>
      </w:numPr>
      <w:adjustRightInd w:val="0"/>
      <w:snapToGrid w:val="0"/>
      <w:spacing w:beforeLines="50" w:afterLines="50" w:line="360" w:lineRule="auto"/>
      <w:outlineLvl w:val="1"/>
    </w:pPr>
    <w:rPr>
      <w:rFonts w:ascii="Times New Roman" w:hAnsi="Times New Roman" w:eastAsia="仿宋_GB2312"/>
      <w:bCs/>
      <w:snapToGrid w:val="0"/>
      <w:kern w:val="0"/>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paragraph" w:styleId="5">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paragraph" w:styleId="6">
    <w:name w:val="heading 5"/>
    <w:basedOn w:val="1"/>
    <w:next w:val="1"/>
    <w:unhideWhenUsed/>
    <w:qFormat/>
    <w:uiPriority w:val="0"/>
    <w:pPr>
      <w:keepNext/>
      <w:keepLines/>
      <w:spacing w:before="280" w:after="290" w:line="372" w:lineRule="auto"/>
      <w:outlineLvl w:val="4"/>
    </w:pPr>
    <w:rPr>
      <w:b/>
      <w:sz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Normal Indent"/>
    <w:basedOn w:val="1"/>
    <w:unhideWhenUsed/>
    <w:qFormat/>
    <w:uiPriority w:val="0"/>
    <w:pPr>
      <w:ind w:firstLine="420" w:firstLineChars="200"/>
    </w:pPr>
    <w:rPr>
      <w:rFonts w:ascii="Calibri" w:hAnsi="Calibri"/>
    </w:rPr>
  </w:style>
  <w:style w:type="paragraph" w:styleId="8">
    <w:name w:val="annotation text"/>
    <w:basedOn w:val="1"/>
    <w:link w:val="41"/>
    <w:qFormat/>
    <w:uiPriority w:val="0"/>
    <w:pPr>
      <w:jc w:val="left"/>
    </w:pPr>
  </w:style>
  <w:style w:type="paragraph" w:styleId="9">
    <w:name w:val="Body Text"/>
    <w:basedOn w:val="1"/>
    <w:unhideWhenUsed/>
    <w:qFormat/>
    <w:uiPriority w:val="0"/>
    <w:pPr>
      <w:spacing w:after="120"/>
    </w:pPr>
    <w:rPr>
      <w:rFonts w:ascii="Calibri" w:hAnsi="Calibri"/>
    </w:rPr>
  </w:style>
  <w:style w:type="paragraph" w:styleId="10">
    <w:name w:val="toc 3"/>
    <w:basedOn w:val="1"/>
    <w:next w:val="1"/>
    <w:qFormat/>
    <w:uiPriority w:val="39"/>
    <w:pPr>
      <w:ind w:left="840" w:leftChars="400"/>
    </w:pPr>
  </w:style>
  <w:style w:type="paragraph" w:styleId="11">
    <w:name w:val="Balloon Text"/>
    <w:basedOn w:val="1"/>
    <w:link w:val="40"/>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qFormat/>
    <w:uiPriority w:val="39"/>
  </w:style>
  <w:style w:type="paragraph" w:styleId="15">
    <w:name w:val="toc 2"/>
    <w:basedOn w:val="1"/>
    <w:next w:val="1"/>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cs="宋体"/>
      <w:kern w:val="0"/>
    </w:rPr>
  </w:style>
  <w:style w:type="paragraph" w:styleId="17">
    <w:name w:val="annotation subject"/>
    <w:basedOn w:val="8"/>
    <w:next w:val="8"/>
    <w:link w:val="42"/>
    <w:qFormat/>
    <w:uiPriority w:val="0"/>
    <w:rPr>
      <w:b/>
      <w:bCs/>
    </w:rPr>
  </w:style>
  <w:style w:type="table" w:styleId="19">
    <w:name w:val="Table Grid"/>
    <w:basedOn w:val="18"/>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unhideWhenUsed/>
    <w:qFormat/>
    <w:uiPriority w:val="99"/>
    <w:rPr>
      <w:color w:val="0563C1" w:themeColor="hyperlink"/>
      <w:u w:val="single"/>
      <w14:textFill>
        <w14:solidFill>
          <w14:schemeClr w14:val="hlink"/>
        </w14:solidFill>
      </w14:textFill>
    </w:rPr>
  </w:style>
  <w:style w:type="character" w:styleId="22">
    <w:name w:val="annotation reference"/>
    <w:basedOn w:val="20"/>
    <w:qFormat/>
    <w:uiPriority w:val="0"/>
    <w:rPr>
      <w:sz w:val="21"/>
      <w:szCs w:val="21"/>
    </w:rPr>
  </w:style>
  <w:style w:type="paragraph" w:customStyle="1" w:styleId="23">
    <w:name w:val="WPSOffice手动目录 1"/>
    <w:qFormat/>
    <w:uiPriority w:val="0"/>
    <w:rPr>
      <w:rFonts w:asciiTheme="minorHAnsi" w:hAnsiTheme="minorHAnsi" w:eastAsiaTheme="minorEastAsia" w:cstheme="minorBidi"/>
      <w:lang w:val="en-US" w:eastAsia="zh-CN" w:bidi="ar-SA"/>
    </w:rPr>
  </w:style>
  <w:style w:type="paragraph" w:customStyle="1" w:styleId="24">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25">
    <w:name w:val="表头文字"/>
    <w:basedOn w:val="1"/>
    <w:qFormat/>
    <w:uiPriority w:val="0"/>
    <w:pPr>
      <w:keepNext/>
      <w:widowControl/>
      <w:spacing w:before="40" w:after="40"/>
      <w:jc w:val="center"/>
    </w:pPr>
    <w:rPr>
      <w:rFonts w:ascii="Arial" w:hAnsi="Arial"/>
      <w:b/>
      <w:sz w:val="18"/>
    </w:rPr>
  </w:style>
  <w:style w:type="paragraph" w:customStyle="1" w:styleId="26">
    <w:name w:val="表格-表头文字（规格书）"/>
    <w:qFormat/>
    <w:uiPriority w:val="0"/>
    <w:pPr>
      <w:widowControl w:val="0"/>
      <w:snapToGrid w:val="0"/>
      <w:contextualSpacing/>
    </w:pPr>
    <w:rPr>
      <w:rFonts w:ascii="Calibri" w:hAnsi="Calibri" w:eastAsia="宋体" w:cs="Times New Roman"/>
      <w:b/>
      <w:bCs/>
      <w:sz w:val="21"/>
      <w:szCs w:val="21"/>
      <w:lang w:val="en-US" w:eastAsia="zh-CN" w:bidi="ar-SA"/>
    </w:rPr>
  </w:style>
  <w:style w:type="paragraph" w:customStyle="1" w:styleId="27">
    <w:name w:val="表格-内容文字（规格书）"/>
    <w:qFormat/>
    <w:uiPriority w:val="0"/>
    <w:pPr>
      <w:widowControl w:val="0"/>
      <w:snapToGrid w:val="0"/>
    </w:pPr>
    <w:rPr>
      <w:rFonts w:ascii="Calibri" w:hAnsi="Calibri" w:eastAsia="宋体" w:cs="Times New Roman"/>
      <w:sz w:val="21"/>
      <w:szCs w:val="21"/>
      <w:lang w:val="en-US" w:eastAsia="zh-CN" w:bidi="ar-SA"/>
    </w:rPr>
  </w:style>
  <w:style w:type="paragraph" w:customStyle="1" w:styleId="28">
    <w:name w:val="附件文字"/>
    <w:basedOn w:val="1"/>
    <w:qFormat/>
    <w:uiPriority w:val="0"/>
    <w:pPr>
      <w:spacing w:before="156"/>
      <w:jc w:val="center"/>
    </w:pPr>
    <w:rPr>
      <w:color w:val="7F7F7F"/>
      <w:sz w:val="18"/>
    </w:rPr>
  </w:style>
  <w:style w:type="table" w:customStyle="1" w:styleId="29">
    <w:name w:val="表格"/>
    <w:basedOn w:val="18"/>
    <w:qFormat/>
    <w:uiPriority w:val="0"/>
    <w:pPr>
      <w:jc w:val="center"/>
    </w:pPr>
    <w:tblP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Pr>
    <w:tcPr>
      <w:vAlign w:val="center"/>
    </w:tcPr>
    <w:tblStylePr w:type="firstRow">
      <w:pPr>
        <w:jc w:val="center"/>
      </w:pPr>
      <w:rPr>
        <w:rFonts w:eastAsia="宋体"/>
        <w:b/>
        <w:sz w:val="21"/>
      </w:rPr>
      <w:tcPr>
        <w:tcBorders>
          <w:top w:val="single" w:color="auto" w:sz="12" w:space="0"/>
          <w:left w:val="single" w:color="auto" w:sz="12" w:space="0"/>
          <w:bottom w:val="single" w:color="auto" w:sz="12" w:space="0"/>
          <w:right w:val="single" w:color="auto" w:sz="12" w:space="0"/>
          <w:insideH w:val="nil"/>
          <w:insideV w:val="single" w:sz="8" w:space="0"/>
          <w:tl2br w:val="nil"/>
          <w:tr2bl w:val="nil"/>
        </w:tcBorders>
        <w:shd w:val="clear" w:color="auto" w:fill="E6E6E6"/>
      </w:tcPr>
    </w:tblStylePr>
  </w:style>
  <w:style w:type="paragraph" w:customStyle="1" w:styleId="30">
    <w:name w:val="136-表头"/>
    <w:basedOn w:val="1"/>
    <w:qFormat/>
    <w:uiPriority w:val="0"/>
    <w:pPr>
      <w:adjustRightInd w:val="0"/>
    </w:pPr>
    <w:rPr>
      <w:rFonts w:eastAsia="黑体"/>
    </w:rPr>
  </w:style>
  <w:style w:type="paragraph" w:customStyle="1" w:styleId="31">
    <w:name w:val="136-表正文"/>
    <w:basedOn w:val="1"/>
    <w:next w:val="32"/>
    <w:qFormat/>
    <w:uiPriority w:val="0"/>
    <w:pPr>
      <w:adjustRightInd w:val="0"/>
    </w:pPr>
    <w:rPr>
      <w:rFonts w:eastAsia="仿宋_GB2312"/>
    </w:rPr>
  </w:style>
  <w:style w:type="paragraph" w:customStyle="1" w:styleId="32">
    <w:name w:val="136-表标题"/>
    <w:basedOn w:val="1"/>
    <w:next w:val="33"/>
    <w:qFormat/>
    <w:uiPriority w:val="0"/>
    <w:pPr>
      <w:adjustRightInd w:val="0"/>
      <w:jc w:val="center"/>
    </w:pPr>
    <w:rPr>
      <w:rFonts w:eastAsia="黑体"/>
      <w:b/>
    </w:rPr>
  </w:style>
  <w:style w:type="paragraph" w:customStyle="1" w:styleId="33">
    <w:name w:val="136-0正文"/>
    <w:basedOn w:val="1"/>
    <w:qFormat/>
    <w:uiPriority w:val="0"/>
    <w:pPr>
      <w:widowControl/>
      <w:autoSpaceDE w:val="0"/>
      <w:autoSpaceDN w:val="0"/>
      <w:adjustRightInd w:val="0"/>
    </w:pPr>
    <w:rPr>
      <w:rFonts w:eastAsia="仿宋_GB2312"/>
      <w:kern w:val="0"/>
      <w:sz w:val="28"/>
      <w:szCs w:val="20"/>
    </w:rPr>
  </w:style>
  <w:style w:type="paragraph" w:customStyle="1" w:styleId="34">
    <w:name w:val="136-0正文首行缩进"/>
    <w:basedOn w:val="1"/>
    <w:qFormat/>
    <w:uiPriority w:val="0"/>
    <w:pPr>
      <w:adjustRightInd w:val="0"/>
      <w:ind w:firstLine="200" w:firstLineChars="200"/>
    </w:pPr>
    <w:rPr>
      <w:rFonts w:eastAsia="仿宋_GB2312"/>
      <w:sz w:val="28"/>
    </w:rPr>
  </w:style>
  <w:style w:type="paragraph" w:customStyle="1" w:styleId="35">
    <w:name w:val="文档正文"/>
    <w:basedOn w:val="1"/>
    <w:qFormat/>
    <w:uiPriority w:val="0"/>
    <w:pPr>
      <w:adjustRightInd w:val="0"/>
      <w:spacing w:line="480" w:lineRule="atLeast"/>
      <w:ind w:firstLine="567"/>
      <w:textAlignment w:val="baseline"/>
    </w:pPr>
    <w:rPr>
      <w:rFonts w:ascii="长城仿宋" w:hAnsi="Times New Roman"/>
      <w:kern w:val="0"/>
      <w:szCs w:val="20"/>
    </w:rPr>
  </w:style>
  <w:style w:type="paragraph" w:styleId="36">
    <w:name w:val="List Paragraph"/>
    <w:basedOn w:val="1"/>
    <w:qFormat/>
    <w:uiPriority w:val="34"/>
    <w:pPr>
      <w:ind w:firstLine="420" w:firstLineChars="200"/>
    </w:pPr>
    <w:rPr>
      <w:rFonts w:ascii="Calibri" w:hAnsi="Calibri"/>
      <w:sz w:val="21"/>
      <w:szCs w:val="22"/>
    </w:rPr>
  </w:style>
  <w:style w:type="character" w:customStyle="1" w:styleId="37">
    <w:name w:val="font11"/>
    <w:basedOn w:val="20"/>
    <w:qFormat/>
    <w:uiPriority w:val="0"/>
    <w:rPr>
      <w:rFonts w:hint="eastAsia" w:ascii="仿宋_GB2312" w:eastAsia="仿宋_GB2312" w:cs="仿宋_GB2312"/>
      <w:color w:val="000000"/>
      <w:sz w:val="28"/>
      <w:szCs w:val="28"/>
      <w:u w:val="none"/>
    </w:rPr>
  </w:style>
  <w:style w:type="character" w:customStyle="1" w:styleId="38">
    <w:name w:val="font21"/>
    <w:basedOn w:val="20"/>
    <w:qFormat/>
    <w:uiPriority w:val="0"/>
    <w:rPr>
      <w:rFonts w:hint="eastAsia" w:ascii="仿宋_GB2312" w:eastAsia="仿宋_GB2312" w:cs="仿宋_GB2312"/>
      <w:color w:val="000000"/>
      <w:sz w:val="28"/>
      <w:szCs w:val="28"/>
      <w:u w:val="none"/>
    </w:rPr>
  </w:style>
  <w:style w:type="character" w:customStyle="1" w:styleId="39">
    <w:name w:val="font31"/>
    <w:basedOn w:val="20"/>
    <w:qFormat/>
    <w:uiPriority w:val="0"/>
    <w:rPr>
      <w:rFonts w:hint="eastAsia" w:ascii="微软雅黑" w:hAnsi="微软雅黑" w:eastAsia="微软雅黑" w:cs="微软雅黑"/>
      <w:color w:val="000000"/>
      <w:sz w:val="24"/>
      <w:szCs w:val="24"/>
      <w:u w:val="none"/>
    </w:rPr>
  </w:style>
  <w:style w:type="character" w:customStyle="1" w:styleId="40">
    <w:name w:val="批注框文本 Char"/>
    <w:basedOn w:val="20"/>
    <w:link w:val="11"/>
    <w:qFormat/>
    <w:uiPriority w:val="0"/>
    <w:rPr>
      <w:rFonts w:ascii="宋体" w:hAnsi="宋体"/>
      <w:kern w:val="2"/>
      <w:sz w:val="18"/>
      <w:szCs w:val="18"/>
    </w:rPr>
  </w:style>
  <w:style w:type="character" w:customStyle="1" w:styleId="41">
    <w:name w:val="批注文字 Char"/>
    <w:basedOn w:val="20"/>
    <w:link w:val="8"/>
    <w:qFormat/>
    <w:uiPriority w:val="0"/>
    <w:rPr>
      <w:rFonts w:ascii="宋体" w:hAnsi="宋体"/>
      <w:kern w:val="2"/>
      <w:sz w:val="24"/>
      <w:szCs w:val="24"/>
    </w:rPr>
  </w:style>
  <w:style w:type="character" w:customStyle="1" w:styleId="42">
    <w:name w:val="批注主题 Char"/>
    <w:basedOn w:val="41"/>
    <w:link w:val="17"/>
    <w:qFormat/>
    <w:uiPriority w:val="0"/>
    <w:rPr>
      <w:rFonts w:ascii="宋体" w:hAnsi="宋体"/>
      <w:b/>
      <w:bCs/>
      <w:kern w:val="2"/>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4188</Words>
  <Characters>4547</Characters>
  <Lines>64</Lines>
  <Paragraphs>18</Paragraphs>
  <TotalTime>21</TotalTime>
  <ScaleCrop>false</ScaleCrop>
  <LinksUpToDate>false</LinksUpToDate>
  <CharactersWithSpaces>4697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2026-04-03T03:30:00Z</dcterms:created>
  <dc:creator>admin</dc:creator>
  <cp:lastModifiedBy>EVA</cp:lastModifiedBy>
  <dcterms:modified xsi:type="dcterms:W3CDTF">2026-04-07T07:15:54Z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500F6CD154B447BEBCD4475371D71ACB_13</vt:lpwstr>
  </property>
  <property fmtid="{D5CDD505-2E9C-101B-9397-08002B2CF9AE}" pid="4" name="KSOTemplateDocerSaveRecord">
    <vt:lpwstr>eyJoZGlkIjoiNDhhYzExNWJlOWU1ZWUzN2VmYTVmYzI0MmNjNGE5ZGEiLCJ1c2VySWQiOiIxOTQ1MDUyNTIifQ==</vt:lpwstr>
  </property>
</Properties>
</file>