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059C5">
      <w:pPr>
        <w:keepNext/>
        <w:keepLines/>
        <w:spacing w:before="240" w:after="120" w:line="360" w:lineRule="auto"/>
        <w:jc w:val="center"/>
        <w:outlineLvl w:val="0"/>
        <w:rPr>
          <w:rFonts w:hint="eastAsia" w:ascii="宋体" w:hAnsi="宋体" w:eastAsia="宋体" w:cs="宋体"/>
          <w:b/>
          <w:color w:val="000000" w:themeColor="text1"/>
          <w:kern w:val="0"/>
          <w:sz w:val="28"/>
          <w:szCs w:val="28"/>
          <w:highlight w:val="none"/>
          <w14:textFill>
            <w14:solidFill>
              <w14:schemeClr w14:val="tx1"/>
            </w14:solidFill>
          </w14:textFill>
        </w:rPr>
      </w:pPr>
      <w:r>
        <w:rPr>
          <w:rFonts w:hint="eastAsia" w:ascii="宋体" w:hAnsi="宋体" w:eastAsia="宋体" w:cs="宋体"/>
          <w:b/>
          <w:color w:val="000000" w:themeColor="text1"/>
          <w:kern w:val="0"/>
          <w:sz w:val="28"/>
          <w:szCs w:val="28"/>
          <w:highlight w:val="none"/>
          <w:lang w:eastAsia="zh-CN"/>
          <w14:textFill>
            <w14:solidFill>
              <w14:schemeClr w14:val="tx1"/>
            </w14:solidFill>
          </w14:textFill>
        </w:rPr>
        <w:t>中国银行股份有限公司【泉州分行】2026-2028年全辖物业服务项目</w:t>
      </w:r>
    </w:p>
    <w:p w14:paraId="7A329F12">
      <w:pPr>
        <w:keepNext/>
        <w:keepLines/>
        <w:spacing w:before="240" w:after="120" w:line="360" w:lineRule="auto"/>
        <w:jc w:val="center"/>
        <w:outlineLvl w:val="0"/>
        <w:rPr>
          <w:rFonts w:ascii="宋体" w:hAnsi="宋体" w:cs="宋体"/>
          <w:b/>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kern w:val="0"/>
          <w:sz w:val="28"/>
          <w:szCs w:val="28"/>
          <w:highlight w:val="none"/>
          <w14:textFill>
            <w14:solidFill>
              <w14:schemeClr w14:val="tx1"/>
            </w14:solidFill>
          </w14:textFill>
        </w:rPr>
        <w:t>招标公告</w:t>
      </w:r>
    </w:p>
    <w:p w14:paraId="4C8F62C3">
      <w:pPr>
        <w:pageBreakBefore w:val="0"/>
        <w:kinsoku/>
        <w:wordWrap w:val="0"/>
        <w:bidi w:val="0"/>
        <w:snapToGrid w:val="0"/>
        <w:ind w:firstLine="480" w:firstLineChars="200"/>
        <w:jc w:val="left"/>
        <w:rPr>
          <w:rFonts w:ascii="仿宋" w:hAnsi="仿宋" w:eastAsia="仿宋" w:cs="仿宋"/>
          <w:sz w:val="24"/>
          <w:szCs w:val="21"/>
          <w:highlight w:val="none"/>
        </w:rPr>
      </w:pPr>
      <w:r>
        <w:rPr>
          <w:rFonts w:hint="eastAsia" w:ascii="仿宋" w:hAnsi="仿宋" w:eastAsia="仿宋" w:cs="仿宋"/>
          <w:sz w:val="24"/>
          <w:szCs w:val="21"/>
          <w:highlight w:val="none"/>
          <w:u w:val="single"/>
          <w:lang w:val="en-US" w:eastAsia="zh-CN"/>
        </w:rPr>
        <w:t>福建省中通通信有限公司</w:t>
      </w:r>
      <w:r>
        <w:rPr>
          <w:rFonts w:hint="eastAsia" w:ascii="仿宋" w:hAnsi="仿宋" w:eastAsia="仿宋" w:cs="仿宋"/>
          <w:sz w:val="24"/>
          <w:szCs w:val="21"/>
          <w:highlight w:val="none"/>
          <w:u w:val="single"/>
        </w:rPr>
        <w:t>（招标代理机构）</w:t>
      </w:r>
      <w:r>
        <w:rPr>
          <w:rFonts w:hint="eastAsia" w:ascii="仿宋" w:hAnsi="仿宋" w:eastAsia="仿宋" w:cs="仿宋"/>
          <w:sz w:val="24"/>
          <w:szCs w:val="21"/>
          <w:highlight w:val="none"/>
        </w:rPr>
        <w:t>受</w:t>
      </w:r>
      <w:r>
        <w:rPr>
          <w:rFonts w:hint="eastAsia" w:ascii="仿宋" w:hAnsi="仿宋" w:eastAsia="仿宋" w:cs="仿宋"/>
          <w:sz w:val="24"/>
          <w:szCs w:val="21"/>
          <w:highlight w:val="none"/>
          <w:u w:val="single"/>
        </w:rPr>
        <w:t>中国银行股份有限公司</w:t>
      </w:r>
      <w:r>
        <w:rPr>
          <w:rFonts w:hint="eastAsia" w:ascii="仿宋" w:hAnsi="仿宋" w:eastAsia="仿宋"/>
          <w:color w:val="000000"/>
          <w:sz w:val="24"/>
          <w:szCs w:val="21"/>
          <w:highlight w:val="none"/>
          <w:u w:val="single"/>
        </w:rPr>
        <w:t>（以下简称“中国银行”）</w:t>
      </w:r>
      <w:r>
        <w:rPr>
          <w:rFonts w:hint="eastAsia" w:ascii="仿宋" w:hAnsi="仿宋" w:eastAsia="仿宋" w:cs="仿宋"/>
          <w:sz w:val="24"/>
          <w:szCs w:val="21"/>
          <w:highlight w:val="none"/>
          <w:u w:val="single"/>
        </w:rPr>
        <w:t>【</w:t>
      </w:r>
      <w:r>
        <w:rPr>
          <w:rFonts w:hint="eastAsia" w:ascii="仿宋" w:hAnsi="仿宋" w:eastAsia="仿宋" w:cs="仿宋"/>
          <w:sz w:val="24"/>
          <w:szCs w:val="21"/>
          <w:highlight w:val="none"/>
          <w:u w:val="single"/>
          <w:lang w:eastAsia="zh-CN"/>
        </w:rPr>
        <w:t>泉州分行</w:t>
      </w:r>
      <w:r>
        <w:rPr>
          <w:rFonts w:hint="eastAsia" w:ascii="仿宋" w:hAnsi="仿宋" w:eastAsia="仿宋" w:cs="仿宋"/>
          <w:sz w:val="24"/>
          <w:szCs w:val="21"/>
          <w:highlight w:val="none"/>
        </w:rPr>
        <w:t>】（招标人）委托，就中国银行股份有限公司【</w:t>
      </w:r>
      <w:r>
        <w:rPr>
          <w:rFonts w:hint="eastAsia" w:ascii="仿宋" w:hAnsi="仿宋" w:eastAsia="仿宋" w:cs="仿宋"/>
          <w:sz w:val="24"/>
          <w:szCs w:val="21"/>
          <w:highlight w:val="none"/>
          <w:lang w:eastAsia="zh-CN"/>
        </w:rPr>
        <w:t>泉州分行</w:t>
      </w:r>
      <w:r>
        <w:rPr>
          <w:rFonts w:hint="eastAsia" w:ascii="仿宋" w:hAnsi="仿宋" w:eastAsia="仿宋" w:cs="仿宋"/>
          <w:sz w:val="24"/>
          <w:szCs w:val="21"/>
          <w:highlight w:val="none"/>
        </w:rPr>
        <w:t>】</w:t>
      </w:r>
      <w:r>
        <w:rPr>
          <w:rFonts w:hint="eastAsia" w:ascii="仿宋" w:hAnsi="仿宋" w:eastAsia="仿宋" w:cs="仿宋"/>
          <w:sz w:val="24"/>
          <w:szCs w:val="21"/>
          <w:highlight w:val="none"/>
          <w:lang w:eastAsia="zh-CN"/>
        </w:rPr>
        <w:t>2026-2028年全辖物业服务项目</w:t>
      </w:r>
      <w:r>
        <w:rPr>
          <w:rFonts w:hint="eastAsia" w:ascii="仿宋" w:hAnsi="仿宋" w:eastAsia="仿宋" w:cs="仿宋"/>
          <w:sz w:val="24"/>
          <w:szCs w:val="21"/>
          <w:highlight w:val="none"/>
        </w:rPr>
        <w:t>进行公开招标。</w:t>
      </w:r>
    </w:p>
    <w:p w14:paraId="3B96480A">
      <w:pPr>
        <w:keepNext w:val="0"/>
        <w:keepLines w:val="0"/>
        <w:pageBreakBefore w:val="0"/>
        <w:widowControl w:val="0"/>
        <w:numPr>
          <w:ilvl w:val="0"/>
          <w:numId w:val="1"/>
        </w:numPr>
        <w:kinsoku/>
        <w:wordWrap w:val="0"/>
        <w:overflowPunct/>
        <w:topLinePunct w:val="0"/>
        <w:autoSpaceDE/>
        <w:autoSpaceDN/>
        <w:bidi w:val="0"/>
        <w:adjustRightInd/>
        <w:snapToGrid/>
        <w:spacing w:line="360" w:lineRule="auto"/>
        <w:ind w:left="0" w:firstLine="0"/>
        <w:textAlignment w:val="auto"/>
        <w:outlineLvl w:val="1"/>
        <w:rPr>
          <w:rFonts w:ascii="仿宋" w:hAnsi="仿宋" w:eastAsia="仿宋" w:cs="仿宋"/>
          <w:b/>
          <w:bCs/>
          <w:sz w:val="24"/>
          <w:szCs w:val="21"/>
          <w:highlight w:val="none"/>
        </w:rPr>
      </w:pPr>
      <w:bookmarkStart w:id="0" w:name="_Toc31764"/>
      <w:bookmarkStart w:id="1" w:name="_Toc149230385"/>
      <w:bookmarkStart w:id="2" w:name="_Toc108796132"/>
      <w:bookmarkStart w:id="3" w:name="_Toc23099"/>
      <w:bookmarkStart w:id="4" w:name="_Toc150933561"/>
      <w:bookmarkStart w:id="5" w:name="_Toc11694"/>
      <w:r>
        <w:rPr>
          <w:rFonts w:hint="eastAsia" w:ascii="仿宋" w:hAnsi="仿宋" w:eastAsia="仿宋" w:cs="仿宋"/>
          <w:b/>
          <w:bCs/>
          <w:sz w:val="24"/>
          <w:szCs w:val="21"/>
          <w:highlight w:val="none"/>
        </w:rPr>
        <w:t>项目名称：</w:t>
      </w:r>
      <w:bookmarkEnd w:id="0"/>
      <w:bookmarkEnd w:id="1"/>
      <w:bookmarkEnd w:id="2"/>
      <w:bookmarkEnd w:id="3"/>
      <w:bookmarkEnd w:id="4"/>
      <w:bookmarkEnd w:id="5"/>
    </w:p>
    <w:p w14:paraId="26E2F964">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textAlignment w:val="auto"/>
        <w:rPr>
          <w:rFonts w:ascii="仿宋" w:hAnsi="仿宋" w:eastAsia="仿宋"/>
          <w:sz w:val="24"/>
          <w:szCs w:val="21"/>
          <w:highlight w:val="none"/>
        </w:rPr>
      </w:pPr>
      <w:r>
        <w:rPr>
          <w:rFonts w:hint="eastAsia" w:ascii="仿宋" w:hAnsi="仿宋" w:eastAsia="仿宋" w:cs="仿宋"/>
          <w:sz w:val="24"/>
          <w:szCs w:val="21"/>
          <w:highlight w:val="none"/>
        </w:rPr>
        <w:t>中国银行股份有限公司【</w:t>
      </w:r>
      <w:r>
        <w:rPr>
          <w:rFonts w:hint="eastAsia" w:ascii="仿宋" w:hAnsi="仿宋" w:eastAsia="仿宋" w:cs="仿宋"/>
          <w:sz w:val="24"/>
          <w:szCs w:val="21"/>
          <w:highlight w:val="none"/>
          <w:lang w:eastAsia="zh-CN"/>
        </w:rPr>
        <w:t>泉州分行</w:t>
      </w:r>
      <w:r>
        <w:rPr>
          <w:rFonts w:hint="eastAsia" w:ascii="仿宋" w:hAnsi="仿宋" w:eastAsia="仿宋" w:cs="仿宋"/>
          <w:sz w:val="24"/>
          <w:szCs w:val="21"/>
          <w:highlight w:val="none"/>
        </w:rPr>
        <w:t>】</w:t>
      </w:r>
      <w:r>
        <w:rPr>
          <w:rFonts w:hint="eastAsia" w:ascii="仿宋" w:hAnsi="仿宋" w:eastAsia="仿宋" w:cs="仿宋"/>
          <w:sz w:val="24"/>
          <w:szCs w:val="21"/>
          <w:highlight w:val="none"/>
          <w:lang w:eastAsia="zh-CN"/>
        </w:rPr>
        <w:t>2026-2028年全辖物业服务项目</w:t>
      </w:r>
    </w:p>
    <w:p w14:paraId="647222D3">
      <w:pPr>
        <w:keepNext w:val="0"/>
        <w:keepLines w:val="0"/>
        <w:pageBreakBefore w:val="0"/>
        <w:widowControl w:val="0"/>
        <w:numPr>
          <w:ilvl w:val="0"/>
          <w:numId w:val="1"/>
        </w:numPr>
        <w:kinsoku/>
        <w:wordWrap w:val="0"/>
        <w:overflowPunct/>
        <w:topLinePunct w:val="0"/>
        <w:autoSpaceDE/>
        <w:autoSpaceDN/>
        <w:bidi w:val="0"/>
        <w:adjustRightInd/>
        <w:snapToGrid/>
        <w:spacing w:line="360" w:lineRule="auto"/>
        <w:ind w:left="0" w:firstLine="0"/>
        <w:textAlignment w:val="auto"/>
        <w:outlineLvl w:val="1"/>
        <w:rPr>
          <w:rFonts w:ascii="仿宋" w:hAnsi="仿宋" w:eastAsia="仿宋" w:cs="仿宋"/>
          <w:b/>
          <w:bCs/>
          <w:sz w:val="24"/>
          <w:szCs w:val="21"/>
          <w:highlight w:val="none"/>
        </w:rPr>
      </w:pPr>
      <w:bookmarkStart w:id="6" w:name="_Toc8957"/>
      <w:r>
        <w:rPr>
          <w:rFonts w:hint="eastAsia" w:ascii="仿宋" w:hAnsi="仿宋" w:eastAsia="仿宋" w:cs="仿宋"/>
          <w:b/>
          <w:bCs/>
          <w:sz w:val="24"/>
          <w:szCs w:val="21"/>
          <w:highlight w:val="none"/>
        </w:rPr>
        <w:t>招标编号：</w:t>
      </w:r>
      <w:bookmarkEnd w:id="6"/>
      <w:bookmarkStart w:id="7" w:name="_Toc149230386"/>
      <w:bookmarkStart w:id="8" w:name="_Toc150933562"/>
      <w:bookmarkStart w:id="9" w:name="_Toc13130"/>
      <w:bookmarkStart w:id="10" w:name="_Toc15873"/>
      <w:bookmarkStart w:id="11" w:name="_Toc108796133"/>
    </w:p>
    <w:p w14:paraId="43E6B1FF">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1"/>
          <w:highlight w:val="none"/>
          <w:lang w:eastAsia="zh-CN"/>
        </w:rPr>
      </w:pPr>
      <w:r>
        <w:rPr>
          <w:rFonts w:hint="eastAsia" w:ascii="仿宋" w:hAnsi="仿宋" w:eastAsia="仿宋" w:cs="仿宋"/>
          <w:sz w:val="24"/>
          <w:szCs w:val="21"/>
          <w:highlight w:val="none"/>
          <w:lang w:eastAsia="zh-CN"/>
        </w:rPr>
        <w:t>FJZT-2026-11140</w:t>
      </w:r>
    </w:p>
    <w:p w14:paraId="42AF6EDD">
      <w:pPr>
        <w:keepNext w:val="0"/>
        <w:keepLines w:val="0"/>
        <w:pageBreakBefore w:val="0"/>
        <w:widowControl w:val="0"/>
        <w:numPr>
          <w:ilvl w:val="0"/>
          <w:numId w:val="1"/>
        </w:numPr>
        <w:kinsoku/>
        <w:wordWrap w:val="0"/>
        <w:overflowPunct/>
        <w:topLinePunct w:val="0"/>
        <w:autoSpaceDE/>
        <w:autoSpaceDN/>
        <w:bidi w:val="0"/>
        <w:adjustRightInd/>
        <w:snapToGrid/>
        <w:spacing w:line="360" w:lineRule="auto"/>
        <w:ind w:left="0" w:firstLine="0"/>
        <w:textAlignment w:val="auto"/>
        <w:outlineLvl w:val="1"/>
        <w:rPr>
          <w:rFonts w:ascii="仿宋" w:hAnsi="仿宋" w:eastAsia="仿宋" w:cs="仿宋"/>
          <w:b/>
          <w:bCs/>
          <w:sz w:val="24"/>
          <w:szCs w:val="21"/>
          <w:highlight w:val="none"/>
        </w:rPr>
      </w:pPr>
      <w:bookmarkStart w:id="12" w:name="_Toc5960"/>
      <w:r>
        <w:rPr>
          <w:rFonts w:hint="eastAsia" w:ascii="仿宋" w:hAnsi="仿宋" w:eastAsia="仿宋" w:cs="仿宋"/>
          <w:b/>
          <w:bCs/>
          <w:sz w:val="24"/>
          <w:szCs w:val="21"/>
          <w:highlight w:val="none"/>
        </w:rPr>
        <w:t>项目情况：</w:t>
      </w:r>
      <w:bookmarkEnd w:id="7"/>
      <w:bookmarkEnd w:id="8"/>
      <w:bookmarkEnd w:id="9"/>
      <w:bookmarkEnd w:id="10"/>
      <w:bookmarkEnd w:id="11"/>
      <w:bookmarkEnd w:id="12"/>
      <w:bookmarkStart w:id="13" w:name="_Toc108796134"/>
      <w:bookmarkStart w:id="14" w:name="_Toc31246"/>
      <w:bookmarkStart w:id="15" w:name="_Toc149230387"/>
      <w:bookmarkStart w:id="16" w:name="_Toc150933563"/>
      <w:bookmarkStart w:id="17" w:name="_Toc31550"/>
    </w:p>
    <w:p w14:paraId="7B703016">
      <w:pPr>
        <w:pageBreakBefore w:val="0"/>
        <w:numPr>
          <w:ilvl w:val="0"/>
          <w:numId w:val="2"/>
        </w:numPr>
        <w:kinsoku/>
        <w:wordWrap w:val="0"/>
        <w:bidi w:val="0"/>
        <w:spacing w:line="360" w:lineRule="auto"/>
        <w:ind w:left="0" w:firstLine="420"/>
        <w:rPr>
          <w:rFonts w:hint="eastAsia" w:ascii="仿宋" w:hAnsi="仿宋" w:eastAsia="仿宋"/>
          <w:b/>
          <w:bCs/>
          <w:sz w:val="24"/>
          <w:szCs w:val="21"/>
          <w:highlight w:val="none"/>
        </w:rPr>
      </w:pPr>
      <w:r>
        <w:rPr>
          <w:rFonts w:hint="eastAsia" w:ascii="仿宋" w:hAnsi="仿宋" w:eastAsia="仿宋"/>
          <w:b/>
          <w:bCs/>
          <w:sz w:val="24"/>
          <w:szCs w:val="21"/>
          <w:highlight w:val="none"/>
        </w:rPr>
        <w:t>采购内容：</w:t>
      </w:r>
    </w:p>
    <w:p w14:paraId="45ECFEBD">
      <w:pPr>
        <w:keepNext w:val="0"/>
        <w:keepLines w:val="0"/>
        <w:pageBreakBefore w:val="0"/>
        <w:widowControl w:val="0"/>
        <w:numPr>
          <w:ilvl w:val="0"/>
          <w:numId w:val="3"/>
        </w:numPr>
        <w:kinsoku/>
        <w:wordWrap w:val="0"/>
        <w:overflowPunct/>
        <w:topLinePunct w:val="0"/>
        <w:autoSpaceDE/>
        <w:autoSpaceDN/>
        <w:bidi w:val="0"/>
        <w:adjustRightInd/>
        <w:snapToGrid/>
        <w:spacing w:line="240" w:lineRule="auto"/>
        <w:ind w:left="0" w:leftChars="0" w:firstLine="480" w:firstLineChars="200"/>
        <w:textAlignment w:val="auto"/>
        <w:rPr>
          <w:rFonts w:ascii="仿宋" w:hAnsi="仿宋" w:eastAsia="仿宋" w:cs="仿宋"/>
          <w:sz w:val="24"/>
          <w:szCs w:val="21"/>
          <w:highlight w:val="none"/>
        </w:rPr>
      </w:pPr>
      <w:r>
        <w:rPr>
          <w:rFonts w:hint="eastAsia" w:ascii="仿宋" w:hAnsi="仿宋" w:eastAsia="仿宋" w:cs="仿宋"/>
          <w:sz w:val="24"/>
          <w:szCs w:val="21"/>
          <w:highlight w:val="none"/>
        </w:rPr>
        <w:t>【</w:t>
      </w:r>
      <w:r>
        <w:rPr>
          <w:rFonts w:hint="eastAsia" w:ascii="仿宋" w:hAnsi="仿宋" w:eastAsia="仿宋" w:cs="仿宋"/>
          <w:sz w:val="24"/>
          <w:szCs w:val="21"/>
          <w:highlight w:val="none"/>
          <w:lang w:val="en-US" w:eastAsia="zh-CN"/>
        </w:rPr>
        <w:t>本项目主要采购我行69个分支机构的食堂用工服务、车辆专项服务、保洁服务及水电管理服务的物业管理服务，具体内容详见招标文件第五部分《采购需求书》</w:t>
      </w:r>
      <w:r>
        <w:rPr>
          <w:rFonts w:hint="eastAsia" w:ascii="仿宋" w:hAnsi="仿宋" w:eastAsia="仿宋" w:cs="仿宋"/>
          <w:sz w:val="24"/>
          <w:szCs w:val="21"/>
          <w:highlight w:val="none"/>
        </w:rPr>
        <w:t>】。</w:t>
      </w:r>
    </w:p>
    <w:p w14:paraId="24081EDF">
      <w:pPr>
        <w:keepNext w:val="0"/>
        <w:keepLines w:val="0"/>
        <w:pageBreakBefore w:val="0"/>
        <w:widowControl w:val="0"/>
        <w:numPr>
          <w:ilvl w:val="0"/>
          <w:numId w:val="3"/>
        </w:numPr>
        <w:kinsoku/>
        <w:wordWrap w:val="0"/>
        <w:overflowPunct/>
        <w:topLinePunct w:val="0"/>
        <w:autoSpaceDE/>
        <w:autoSpaceDN/>
        <w:bidi w:val="0"/>
        <w:adjustRightInd/>
        <w:snapToGrid/>
        <w:spacing w:line="240" w:lineRule="auto"/>
        <w:ind w:left="0" w:leftChars="0" w:firstLine="480" w:firstLineChars="200"/>
        <w:textAlignment w:val="auto"/>
        <w:rPr>
          <w:rFonts w:ascii="仿宋" w:hAnsi="仿宋" w:eastAsia="仿宋" w:cs="仿宋"/>
          <w:sz w:val="24"/>
          <w:szCs w:val="21"/>
          <w:highlight w:val="none"/>
        </w:rPr>
      </w:pPr>
      <w:r>
        <w:rPr>
          <w:rFonts w:hint="eastAsia" w:ascii="仿宋" w:hAnsi="仿宋" w:eastAsia="仿宋" w:cs="仿宋"/>
          <w:sz w:val="24"/>
          <w:szCs w:val="21"/>
          <w:highlight w:val="none"/>
        </w:rPr>
        <w:t>标包划分：共分为</w:t>
      </w:r>
      <w:r>
        <w:rPr>
          <w:rFonts w:hint="eastAsia" w:ascii="仿宋" w:hAnsi="仿宋" w:eastAsia="仿宋" w:cs="仿宋"/>
          <w:sz w:val="24"/>
          <w:szCs w:val="21"/>
          <w:highlight w:val="none"/>
          <w:lang w:val="en-US" w:eastAsia="zh-CN"/>
        </w:rPr>
        <w:t>3</w:t>
      </w:r>
      <w:r>
        <w:rPr>
          <w:rFonts w:hint="eastAsia" w:ascii="仿宋" w:hAnsi="仿宋" w:eastAsia="仿宋" w:cs="仿宋"/>
          <w:sz w:val="24"/>
          <w:szCs w:val="21"/>
          <w:highlight w:val="none"/>
        </w:rPr>
        <w:t>个标包</w:t>
      </w:r>
      <w:r>
        <w:rPr>
          <w:rFonts w:hint="eastAsia" w:ascii="仿宋" w:hAnsi="仿宋" w:eastAsia="仿宋" w:cs="仿宋"/>
          <w:sz w:val="24"/>
          <w:szCs w:val="21"/>
          <w:highlight w:val="none"/>
          <w:lang w:eastAsia="zh-CN"/>
        </w:rPr>
        <w:t>，</w:t>
      </w:r>
      <w:r>
        <w:rPr>
          <w:rFonts w:hint="eastAsia" w:ascii="仿宋" w:hAnsi="仿宋" w:eastAsia="仿宋" w:cs="仿宋"/>
          <w:sz w:val="24"/>
          <w:szCs w:val="24"/>
          <w:highlight w:val="yellow"/>
          <w:lang w:val="en-US" w:eastAsia="zh-CN"/>
        </w:rPr>
        <w:t>允许投标人同时中标的最多标包数为【1】个</w:t>
      </w:r>
      <w:r>
        <w:rPr>
          <w:rFonts w:hint="eastAsia" w:eastAsia="仿宋"/>
          <w:sz w:val="24"/>
          <w:szCs w:val="21"/>
          <w:highlight w:val="none"/>
          <w:lang w:eastAsia="zh-CN"/>
        </w:rPr>
        <w:t>，</w:t>
      </w:r>
      <w:r>
        <w:rPr>
          <w:rFonts w:hint="eastAsia" w:ascii="仿宋" w:hAnsi="仿宋" w:eastAsia="仿宋" w:cs="仿宋"/>
          <w:sz w:val="24"/>
          <w:szCs w:val="21"/>
          <w:highlight w:val="none"/>
          <w:lang w:val="en-US" w:eastAsia="zh-CN"/>
        </w:rPr>
        <w:t>具体标包如下：</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5662"/>
        <w:gridCol w:w="1935"/>
      </w:tblGrid>
      <w:tr w14:paraId="7EB18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tcPr>
          <w:p w14:paraId="488D0033">
            <w:pPr>
              <w:widowControl w:val="0"/>
              <w:ind w:left="0" w:lef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标包号</w:t>
            </w:r>
          </w:p>
        </w:tc>
        <w:tc>
          <w:tcPr>
            <w:tcW w:w="3321" w:type="pct"/>
          </w:tcPr>
          <w:p w14:paraId="4ADCAC23">
            <w:pPr>
              <w:widowControl w:val="0"/>
              <w:ind w:firstLine="420" w:firstLineChars="20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标包区域</w:t>
            </w:r>
          </w:p>
        </w:tc>
        <w:tc>
          <w:tcPr>
            <w:tcW w:w="1135" w:type="pct"/>
          </w:tcPr>
          <w:p w14:paraId="01B9FB83">
            <w:pPr>
              <w:widowControl w:val="0"/>
              <w:ind w:left="0" w:lef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两年含税预估金额（元）</w:t>
            </w:r>
          </w:p>
        </w:tc>
      </w:tr>
      <w:tr w14:paraId="1710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43" w:type="pct"/>
          </w:tcPr>
          <w:p w14:paraId="312710E2">
            <w:pPr>
              <w:widowControl w:val="0"/>
              <w:ind w:left="0" w:lef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w:t>
            </w:r>
          </w:p>
        </w:tc>
        <w:tc>
          <w:tcPr>
            <w:tcW w:w="3321" w:type="pct"/>
          </w:tcPr>
          <w:p w14:paraId="5799CABA">
            <w:pPr>
              <w:widowControl w:val="0"/>
              <w:ind w:left="0" w:lef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泉州分行本部、丰泽支行、鲤城支行、洛江支行、惠安支行、台商投资区支行、泉港支行</w:t>
            </w:r>
          </w:p>
        </w:tc>
        <w:tc>
          <w:tcPr>
            <w:tcW w:w="1135" w:type="pct"/>
          </w:tcPr>
          <w:p w14:paraId="590489BC">
            <w:pPr>
              <w:widowControl w:val="0"/>
              <w:ind w:left="0" w:lef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15863234.11</w:t>
            </w:r>
          </w:p>
        </w:tc>
      </w:tr>
      <w:tr w14:paraId="21339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tcPr>
          <w:p w14:paraId="77ADBAF7">
            <w:pPr>
              <w:widowControl w:val="0"/>
              <w:ind w:left="0" w:lef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w:t>
            </w:r>
          </w:p>
        </w:tc>
        <w:tc>
          <w:tcPr>
            <w:tcW w:w="3321" w:type="pct"/>
          </w:tcPr>
          <w:p w14:paraId="27B5D440">
            <w:pPr>
              <w:widowControl w:val="0"/>
              <w:ind w:firstLine="420" w:firstLineChars="20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晋江分行、石狮支行</w:t>
            </w:r>
          </w:p>
        </w:tc>
        <w:tc>
          <w:tcPr>
            <w:tcW w:w="1135" w:type="pct"/>
          </w:tcPr>
          <w:p w14:paraId="43B1D03E">
            <w:pPr>
              <w:widowControl w:val="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5964845.57</w:t>
            </w:r>
          </w:p>
        </w:tc>
      </w:tr>
      <w:tr w14:paraId="551E0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tcPr>
          <w:p w14:paraId="7001D39A">
            <w:pPr>
              <w:widowControl w:val="0"/>
              <w:ind w:left="0" w:lef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w:t>
            </w:r>
          </w:p>
        </w:tc>
        <w:tc>
          <w:tcPr>
            <w:tcW w:w="3321" w:type="pct"/>
          </w:tcPr>
          <w:p w14:paraId="0F26746F">
            <w:pPr>
              <w:widowControl w:val="0"/>
              <w:ind w:firstLine="420" w:firstLineChars="20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南安支行、安溪支行、永春支行、德化支行</w:t>
            </w:r>
          </w:p>
        </w:tc>
        <w:tc>
          <w:tcPr>
            <w:tcW w:w="1135" w:type="pct"/>
          </w:tcPr>
          <w:p w14:paraId="27DFBAAB">
            <w:pPr>
              <w:widowControl w:val="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5426545.34</w:t>
            </w:r>
          </w:p>
        </w:tc>
      </w:tr>
      <w:tr w14:paraId="5D46C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4" w:type="pct"/>
            <w:gridSpan w:val="2"/>
          </w:tcPr>
          <w:p w14:paraId="75FD6223">
            <w:pPr>
              <w:widowControl w:val="0"/>
              <w:ind w:firstLine="420" w:firstLineChars="200"/>
              <w:jc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合计</w:t>
            </w:r>
          </w:p>
        </w:tc>
        <w:tc>
          <w:tcPr>
            <w:tcW w:w="1135" w:type="pct"/>
          </w:tcPr>
          <w:p w14:paraId="5DB479AA">
            <w:pPr>
              <w:widowControl w:val="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27254625.02</w:t>
            </w:r>
          </w:p>
        </w:tc>
      </w:tr>
    </w:tbl>
    <w:p w14:paraId="6EE8A235">
      <w:pPr>
        <w:pageBreakBefore w:val="0"/>
        <w:numPr>
          <w:ilvl w:val="0"/>
          <w:numId w:val="3"/>
        </w:numPr>
        <w:kinsoku/>
        <w:wordWrap w:val="0"/>
        <w:bidi w:val="0"/>
        <w:spacing w:line="240" w:lineRule="auto"/>
        <w:ind w:left="0" w:leftChars="0"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响应缺漏项处理：</w:t>
      </w:r>
    </w:p>
    <w:p w14:paraId="71694B58">
      <w:pPr>
        <w:pageBreakBefore w:val="0"/>
        <w:numPr>
          <w:ilvl w:val="0"/>
          <w:numId w:val="0"/>
        </w:numPr>
        <w:kinsoku/>
        <w:wordWrap w:val="0"/>
        <w:bidi w:val="0"/>
        <w:spacing w:line="240" w:lineRule="auto"/>
        <w:ind w:leftChars="200"/>
        <w:rPr>
          <w:rFonts w:ascii="仿宋" w:hAnsi="仿宋" w:eastAsia="仿宋" w:cs="仿宋"/>
          <w:sz w:val="24"/>
          <w:szCs w:val="21"/>
          <w:highlight w:val="none"/>
        </w:rPr>
      </w:pPr>
      <w:r>
        <w:rPr>
          <w:rFonts w:hint="eastAsia" w:ascii="仿宋" w:hAnsi="仿宋" w:eastAsia="仿宋" w:cs="仿宋"/>
          <w:bCs/>
          <w:sz w:val="24"/>
          <w:szCs w:val="21"/>
          <w:highlight w:val="none"/>
          <w:lang w:eastAsia="zh-CN"/>
        </w:rPr>
        <w:t>☑</w:t>
      </w:r>
      <w:r>
        <w:rPr>
          <w:rFonts w:hint="eastAsia" w:ascii="仿宋" w:hAnsi="仿宋" w:eastAsia="仿宋" w:cs="仿宋"/>
          <w:sz w:val="24"/>
          <w:szCs w:val="21"/>
          <w:highlight w:val="none"/>
        </w:rPr>
        <w:t>投标人须对本项目所有采购内容进行响应及报价，否则其投标将被拒绝。</w:t>
      </w:r>
    </w:p>
    <w:p w14:paraId="31C84E8F">
      <w:pPr>
        <w:pageBreakBefore w:val="0"/>
        <w:numPr>
          <w:ilvl w:val="0"/>
          <w:numId w:val="0"/>
        </w:numPr>
        <w:kinsoku/>
        <w:wordWrap w:val="0"/>
        <w:bidi w:val="0"/>
        <w:spacing w:line="240" w:lineRule="auto"/>
        <w:ind w:leftChars="200"/>
        <w:rPr>
          <w:rFonts w:ascii="仿宋" w:hAnsi="仿宋" w:eastAsia="仿宋"/>
          <w:sz w:val="24"/>
          <w:szCs w:val="21"/>
          <w:highlight w:val="none"/>
        </w:rPr>
      </w:pPr>
      <w:r>
        <w:rPr>
          <w:rFonts w:hint="eastAsia" w:ascii="仿宋" w:hAnsi="仿宋" w:eastAsia="仿宋" w:cs="仿宋"/>
          <w:bCs/>
          <w:sz w:val="24"/>
          <w:szCs w:val="21"/>
          <w:highlight w:val="none"/>
        </w:rPr>
        <w:t>□</w:t>
      </w:r>
      <w:r>
        <w:rPr>
          <w:rFonts w:hint="eastAsia" w:ascii="仿宋" w:hAnsi="仿宋" w:eastAsia="仿宋" w:cs="仿宋"/>
          <w:sz w:val="24"/>
          <w:szCs w:val="21"/>
          <w:highlight w:val="none"/>
        </w:rPr>
        <w:t>其他情形</w:t>
      </w:r>
    </w:p>
    <w:p w14:paraId="4EB8B705">
      <w:pPr>
        <w:pageBreakBefore w:val="0"/>
        <w:numPr>
          <w:ilvl w:val="0"/>
          <w:numId w:val="3"/>
        </w:numPr>
        <w:kinsoku/>
        <w:wordWrap w:val="0"/>
        <w:bidi w:val="0"/>
        <w:spacing w:line="240" w:lineRule="auto"/>
        <w:ind w:left="0" w:leftChars="0"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中标人数量：【</w:t>
      </w:r>
      <w:r>
        <w:rPr>
          <w:rFonts w:hint="eastAsia" w:ascii="仿宋" w:hAnsi="仿宋" w:eastAsia="仿宋" w:cs="仿宋"/>
          <w:sz w:val="24"/>
          <w:szCs w:val="21"/>
          <w:highlight w:val="none"/>
          <w:lang w:val="en-US" w:eastAsia="zh-CN"/>
        </w:rPr>
        <w:t>每个标包各</w:t>
      </w:r>
      <w:r>
        <w:rPr>
          <w:rFonts w:hint="eastAsia" w:ascii="仿宋" w:hAnsi="仿宋" w:eastAsia="仿宋" w:cs="仿宋"/>
          <w:bCs/>
          <w:sz w:val="24"/>
          <w:szCs w:val="21"/>
          <w:highlight w:val="none"/>
          <w:lang w:val="en-US" w:eastAsia="zh-CN"/>
        </w:rPr>
        <w:t>1</w:t>
      </w:r>
      <w:r>
        <w:rPr>
          <w:rFonts w:hint="eastAsia" w:ascii="仿宋" w:hAnsi="仿宋" w:eastAsia="仿宋" w:cs="仿宋"/>
          <w:sz w:val="24"/>
          <w:szCs w:val="21"/>
          <w:highlight w:val="none"/>
        </w:rPr>
        <w:t>家</w:t>
      </w:r>
      <w:r>
        <w:rPr>
          <w:rFonts w:hint="eastAsia" w:ascii="仿宋" w:hAnsi="仿宋" w:eastAsia="仿宋" w:cs="仿宋"/>
          <w:sz w:val="24"/>
          <w:szCs w:val="21"/>
          <w:highlight w:val="none"/>
          <w:lang w:eastAsia="zh-CN"/>
        </w:rPr>
        <w:t>，</w:t>
      </w:r>
      <w:r>
        <w:rPr>
          <w:rFonts w:hint="eastAsia" w:ascii="仿宋" w:hAnsi="仿宋" w:eastAsia="仿宋" w:cs="仿宋"/>
          <w:sz w:val="24"/>
          <w:szCs w:val="21"/>
          <w:highlight w:val="none"/>
          <w:lang w:val="en-US" w:eastAsia="zh-CN"/>
        </w:rPr>
        <w:t>份额均为100%</w:t>
      </w:r>
      <w:r>
        <w:rPr>
          <w:rFonts w:hint="eastAsia" w:ascii="仿宋" w:hAnsi="仿宋" w:eastAsia="仿宋" w:cs="仿宋"/>
          <w:sz w:val="24"/>
          <w:szCs w:val="21"/>
          <w:highlight w:val="none"/>
        </w:rPr>
        <w:t>】</w:t>
      </w:r>
    </w:p>
    <w:p w14:paraId="66ED0192">
      <w:pPr>
        <w:pageBreakBefore w:val="0"/>
        <w:numPr>
          <w:ilvl w:val="0"/>
          <w:numId w:val="3"/>
        </w:numPr>
        <w:kinsoku/>
        <w:wordWrap w:val="0"/>
        <w:bidi w:val="0"/>
        <w:spacing w:line="240" w:lineRule="auto"/>
        <w:ind w:left="0" w:leftChars="0" w:firstLine="480" w:firstLineChars="200"/>
        <w:rPr>
          <w:rFonts w:ascii="仿宋" w:hAnsi="仿宋" w:eastAsia="仿宋" w:cs="仿宋"/>
          <w:sz w:val="24"/>
          <w:szCs w:val="21"/>
          <w:highlight w:val="none"/>
          <w:lang w:bidi="ar"/>
        </w:rPr>
      </w:pPr>
      <w:r>
        <w:rPr>
          <w:rFonts w:hint="eastAsia" w:ascii="仿宋" w:hAnsi="仿宋" w:eastAsia="仿宋" w:cs="仿宋"/>
          <w:sz w:val="24"/>
          <w:szCs w:val="21"/>
          <w:highlight w:val="none"/>
          <w:lang w:bidi="ar"/>
        </w:rPr>
        <w:t>【</w:t>
      </w:r>
      <w:r>
        <w:rPr>
          <w:rFonts w:hint="eastAsia" w:ascii="仿宋" w:hAnsi="仿宋" w:eastAsia="仿宋" w:cs="仿宋"/>
          <w:sz w:val="24"/>
          <w:szCs w:val="21"/>
          <w:highlight w:val="none"/>
          <w:lang w:val="en-US" w:eastAsia="zh-CN" w:bidi="ar"/>
        </w:rPr>
        <w:t>服务期：自2026年6月1日至2028年5月31日</w:t>
      </w:r>
      <w:r>
        <w:rPr>
          <w:rFonts w:hint="eastAsia" w:ascii="仿宋" w:hAnsi="仿宋" w:eastAsia="仿宋" w:cs="仿宋"/>
          <w:sz w:val="24"/>
          <w:szCs w:val="21"/>
          <w:highlight w:val="none"/>
          <w:lang w:bidi="ar"/>
        </w:rPr>
        <w:t>】</w:t>
      </w:r>
      <w:r>
        <w:rPr>
          <w:rFonts w:hint="eastAsia" w:ascii="仿宋" w:hAnsi="仿宋" w:eastAsia="仿宋" w:cs="仿宋"/>
          <w:sz w:val="24"/>
          <w:szCs w:val="21"/>
          <w:highlight w:val="none"/>
          <w:lang w:val="en-US" w:eastAsia="zh-CN" w:bidi="ar"/>
        </w:rPr>
        <w:t>（合同起止时间以实际采购结果为准）</w:t>
      </w:r>
    </w:p>
    <w:p w14:paraId="1D816027">
      <w:pPr>
        <w:pageBreakBefore w:val="0"/>
        <w:numPr>
          <w:ilvl w:val="0"/>
          <w:numId w:val="3"/>
        </w:numPr>
        <w:kinsoku/>
        <w:wordWrap w:val="0"/>
        <w:bidi w:val="0"/>
        <w:spacing w:line="240" w:lineRule="auto"/>
        <w:ind w:left="0" w:leftChars="0" w:firstLine="480" w:firstLineChars="200"/>
        <w:rPr>
          <w:rFonts w:ascii="仿宋" w:hAnsi="仿宋" w:eastAsia="仿宋" w:cs="仿宋"/>
          <w:sz w:val="24"/>
          <w:szCs w:val="21"/>
          <w:highlight w:val="none"/>
          <w:lang w:bidi="ar"/>
        </w:rPr>
      </w:pPr>
      <w:r>
        <w:rPr>
          <w:rFonts w:hint="eastAsia" w:ascii="仿宋" w:hAnsi="仿宋" w:eastAsia="仿宋" w:cs="仿宋"/>
          <w:sz w:val="24"/>
          <w:szCs w:val="21"/>
          <w:highlight w:val="none"/>
          <w:lang w:bidi="ar"/>
        </w:rPr>
        <w:t>【</w:t>
      </w:r>
      <w:r>
        <w:rPr>
          <w:rFonts w:hint="eastAsia" w:ascii="仿宋" w:hAnsi="仿宋" w:eastAsia="仿宋" w:cs="仿宋"/>
          <w:sz w:val="24"/>
          <w:szCs w:val="21"/>
          <w:highlight w:val="none"/>
          <w:lang w:val="en-US" w:eastAsia="zh-CN" w:bidi="ar"/>
        </w:rPr>
        <w:t>服务</w:t>
      </w:r>
      <w:r>
        <w:rPr>
          <w:rFonts w:hint="eastAsia" w:ascii="仿宋" w:hAnsi="仿宋" w:eastAsia="仿宋" w:cs="仿宋"/>
          <w:sz w:val="24"/>
          <w:szCs w:val="24"/>
          <w:highlight w:val="none"/>
          <w:lang w:val="en-US" w:eastAsia="zh-CN"/>
        </w:rPr>
        <w:t>地点：招标人指定地点</w:t>
      </w:r>
      <w:r>
        <w:rPr>
          <w:rFonts w:hint="eastAsia" w:ascii="仿宋" w:hAnsi="仿宋" w:eastAsia="仿宋" w:cs="仿宋"/>
          <w:sz w:val="24"/>
          <w:szCs w:val="21"/>
          <w:highlight w:val="none"/>
          <w:lang w:bidi="ar"/>
        </w:rPr>
        <w:t>】</w:t>
      </w:r>
    </w:p>
    <w:p w14:paraId="2EE84771">
      <w:pPr>
        <w:pageBreakBefore w:val="0"/>
        <w:numPr>
          <w:ilvl w:val="0"/>
          <w:numId w:val="3"/>
        </w:numPr>
        <w:kinsoku/>
        <w:wordWrap w:val="0"/>
        <w:bidi w:val="0"/>
        <w:spacing w:line="240" w:lineRule="auto"/>
        <w:ind w:left="0" w:leftChars="0"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资金来源：企业自筹。</w:t>
      </w:r>
    </w:p>
    <w:p w14:paraId="6C47E007">
      <w:pPr>
        <w:pageBreakBefore w:val="0"/>
        <w:widowControl w:val="0"/>
        <w:numPr>
          <w:ilvl w:val="0"/>
          <w:numId w:val="3"/>
        </w:numPr>
        <w:kinsoku/>
        <w:wordWrap w:val="0"/>
        <w:bidi w:val="0"/>
        <w:spacing w:line="240" w:lineRule="auto"/>
        <w:ind w:left="0" w:leftChars="0" w:firstLine="480" w:firstLineChars="200"/>
        <w:jc w:val="left"/>
        <w:rPr>
          <w:rFonts w:ascii="仿宋" w:hAnsi="仿宋" w:eastAsia="仿宋" w:cs="仿宋"/>
          <w:kern w:val="2"/>
          <w:sz w:val="24"/>
          <w:szCs w:val="21"/>
          <w:highlight w:val="none"/>
          <w:lang w:val="en-US" w:eastAsia="zh-CN" w:bidi="ar-SA"/>
        </w:rPr>
      </w:pPr>
      <w:r>
        <w:rPr>
          <w:rFonts w:hint="eastAsia" w:ascii="仿宋" w:hAnsi="仿宋" w:eastAsia="仿宋" w:cs="仿宋"/>
          <w:kern w:val="2"/>
          <w:sz w:val="24"/>
          <w:szCs w:val="21"/>
          <w:highlight w:val="none"/>
          <w:lang w:val="en-US" w:eastAsia="zh-CN" w:bidi="ar-SA"/>
        </w:rPr>
        <w:t>【各标包</w:t>
      </w:r>
      <w:r>
        <w:rPr>
          <w:rFonts w:hint="eastAsia" w:ascii="仿宋" w:hAnsi="仿宋" w:eastAsia="仿宋" w:cs="仿宋"/>
          <w:kern w:val="2"/>
          <w:sz w:val="24"/>
          <w:szCs w:val="21"/>
          <w:highlight w:val="none"/>
          <w:lang w:val="en-US" w:eastAsia="zh-CN" w:bidi="ar"/>
        </w:rPr>
        <w:t>最高投标限价：</w:t>
      </w:r>
      <w:r>
        <w:rPr>
          <w:rFonts w:hint="eastAsia" w:ascii="仿宋" w:hAnsi="仿宋" w:eastAsia="仿宋" w:cs="仿宋"/>
          <w:kern w:val="2"/>
          <w:sz w:val="24"/>
          <w:szCs w:val="24"/>
          <w:highlight w:val="none"/>
          <w:lang w:val="en-US" w:eastAsia="zh-CN" w:bidi="ar-SA"/>
        </w:rPr>
        <w:t>本项目设置最高投标限价，最高投标限价（物业管理费占服务人员固定薪酬的比例）为10%，投标人报价高于最高限价的，其投标将被否决</w:t>
      </w:r>
      <w:r>
        <w:rPr>
          <w:rFonts w:hint="eastAsia" w:ascii="仿宋" w:hAnsi="仿宋" w:eastAsia="仿宋" w:cs="仿宋"/>
          <w:kern w:val="2"/>
          <w:sz w:val="24"/>
          <w:szCs w:val="21"/>
          <w:highlight w:val="none"/>
          <w:lang w:val="en-US" w:eastAsia="zh-CN" w:bidi="ar-SA"/>
        </w:rPr>
        <w:t>】</w:t>
      </w:r>
    </w:p>
    <w:p w14:paraId="7ED04E93">
      <w:pPr>
        <w:pageBreakBefore w:val="0"/>
        <w:widowControl w:val="0"/>
        <w:numPr>
          <w:ilvl w:val="0"/>
          <w:numId w:val="3"/>
        </w:numPr>
        <w:kinsoku/>
        <w:wordWrap w:val="0"/>
        <w:bidi w:val="0"/>
        <w:spacing w:line="240" w:lineRule="auto"/>
        <w:ind w:left="0" w:leftChars="0" w:firstLine="480" w:firstLineChars="200"/>
        <w:jc w:val="left"/>
        <w:rPr>
          <w:rFonts w:ascii="仿宋" w:hAnsi="仿宋" w:eastAsia="仿宋" w:cs="仿宋"/>
          <w:kern w:val="2"/>
          <w:sz w:val="24"/>
          <w:szCs w:val="21"/>
          <w:highlight w:val="none"/>
          <w:lang w:val="en-US" w:eastAsia="zh-CN" w:bidi="ar-SA"/>
        </w:rPr>
      </w:pPr>
      <w:r>
        <w:rPr>
          <w:rFonts w:hint="eastAsia" w:ascii="仿宋" w:hAnsi="仿宋" w:eastAsia="仿宋" w:cs="仿宋"/>
          <w:kern w:val="2"/>
          <w:sz w:val="24"/>
          <w:szCs w:val="21"/>
          <w:highlight w:val="none"/>
          <w:lang w:val="en-US" w:eastAsia="zh-CN" w:bidi="ar-SA"/>
        </w:rPr>
        <w:t>【续签管理：】</w:t>
      </w:r>
    </w:p>
    <w:p w14:paraId="158466BC">
      <w:pPr>
        <w:pageBreakBefore w:val="0"/>
        <w:widowControl w:val="0"/>
        <w:kinsoku/>
        <w:wordWrap w:val="0"/>
        <w:bidi w:val="0"/>
        <w:spacing w:line="240" w:lineRule="auto"/>
        <w:ind w:firstLine="480" w:firstLineChars="200"/>
        <w:jc w:val="left"/>
        <w:rPr>
          <w:rFonts w:ascii="仿宋" w:hAnsi="仿宋" w:eastAsia="仿宋" w:cs="仿宋"/>
          <w:kern w:val="2"/>
          <w:sz w:val="24"/>
          <w:szCs w:val="21"/>
          <w:highlight w:val="none"/>
          <w:lang w:val="en-US" w:eastAsia="zh-CN" w:bidi="ar-SA"/>
        </w:rPr>
      </w:pPr>
      <w:r>
        <w:rPr>
          <w:rFonts w:hint="eastAsia" w:ascii="仿宋" w:hAnsi="仿宋" w:eastAsia="仿宋" w:cs="仿宋"/>
          <w:kern w:val="2"/>
          <w:sz w:val="24"/>
          <w:szCs w:val="21"/>
          <w:highlight w:val="none"/>
          <w:lang w:val="en-US" w:eastAsia="zh-CN" w:bidi="ar-SA"/>
        </w:rPr>
        <w:t>□本次采购价格有效期为</w:t>
      </w:r>
      <w:r>
        <w:rPr>
          <w:rFonts w:ascii="仿宋" w:hAnsi="仿宋" w:eastAsia="仿宋" w:cs="仿宋"/>
          <w:kern w:val="2"/>
          <w:sz w:val="24"/>
          <w:szCs w:val="21"/>
          <w:highlight w:val="none"/>
          <w:lang w:val="en-US" w:eastAsia="zh-CN" w:bidi="ar-SA"/>
        </w:rPr>
        <w:t>X年/月。在价格有效期内，如</w:t>
      </w:r>
      <w:r>
        <w:rPr>
          <w:rFonts w:hint="eastAsia" w:ascii="仿宋" w:hAnsi="仿宋" w:eastAsia="仿宋" w:cs="仿宋"/>
          <w:kern w:val="2"/>
          <w:sz w:val="24"/>
          <w:szCs w:val="21"/>
          <w:highlight w:val="none"/>
          <w:lang w:val="en-US" w:eastAsia="zh-CN" w:bidi="ar-SA"/>
        </w:rPr>
        <w:t>招标人采购需求未发生实质变化的，中标人承诺按照本次中选价格提供服务。中标人的《续签承诺》不视为招标人对中标人的后续采购承诺，招标人有权自主决定是否继续采购。</w:t>
      </w:r>
    </w:p>
    <w:p w14:paraId="291F8E6B">
      <w:pPr>
        <w:pageBreakBefore w:val="0"/>
        <w:widowControl w:val="0"/>
        <w:kinsoku/>
        <w:wordWrap w:val="0"/>
        <w:bidi w:val="0"/>
        <w:spacing w:line="240" w:lineRule="auto"/>
        <w:ind w:firstLine="480" w:firstLineChars="200"/>
        <w:jc w:val="left"/>
        <w:rPr>
          <w:rFonts w:ascii="仿宋" w:hAnsi="仿宋" w:eastAsia="仿宋" w:cs="仿宋"/>
          <w:kern w:val="2"/>
          <w:sz w:val="24"/>
          <w:szCs w:val="21"/>
          <w:highlight w:val="none"/>
          <w:lang w:val="en-US" w:eastAsia="zh-CN" w:bidi="ar-SA"/>
        </w:rPr>
      </w:pPr>
      <w:r>
        <w:rPr>
          <w:rFonts w:hint="eastAsia" w:ascii="仿宋" w:hAnsi="仿宋" w:eastAsia="仿宋" w:cs="仿宋"/>
          <w:bCs/>
          <w:kern w:val="2"/>
          <w:sz w:val="24"/>
          <w:szCs w:val="21"/>
          <w:highlight w:val="none"/>
          <w:lang w:val="en-US" w:eastAsia="zh-CN" w:bidi="ar-SA"/>
        </w:rPr>
        <w:t>☑</w:t>
      </w:r>
      <w:r>
        <w:rPr>
          <w:rFonts w:hint="eastAsia" w:ascii="仿宋" w:hAnsi="仿宋" w:eastAsia="仿宋" w:cs="仿宋"/>
          <w:kern w:val="2"/>
          <w:sz w:val="24"/>
          <w:szCs w:val="21"/>
          <w:highlight w:val="none"/>
          <w:lang w:val="en-US" w:eastAsia="zh-CN" w:bidi="ar-SA"/>
        </w:rPr>
        <w:t>其他情形【本项目不涉及】</w:t>
      </w:r>
    </w:p>
    <w:p w14:paraId="1B4C35ED">
      <w:pPr>
        <w:pageBreakBefore w:val="0"/>
        <w:numPr>
          <w:ilvl w:val="0"/>
          <w:numId w:val="2"/>
        </w:numPr>
        <w:kinsoku/>
        <w:wordWrap w:val="0"/>
        <w:bidi w:val="0"/>
        <w:spacing w:line="360" w:lineRule="auto"/>
        <w:ind w:left="0" w:firstLine="420"/>
        <w:rPr>
          <w:rFonts w:ascii="仿宋" w:hAnsi="仿宋" w:eastAsia="仿宋"/>
          <w:b/>
          <w:bCs/>
          <w:sz w:val="24"/>
          <w:szCs w:val="21"/>
          <w:highlight w:val="none"/>
        </w:rPr>
      </w:pPr>
      <w:r>
        <w:rPr>
          <w:rFonts w:hint="eastAsia" w:ascii="仿宋" w:hAnsi="仿宋" w:eastAsia="仿宋"/>
          <w:b/>
          <w:bCs/>
          <w:sz w:val="24"/>
          <w:szCs w:val="21"/>
          <w:highlight w:val="none"/>
        </w:rPr>
        <w:t>采购</w:t>
      </w:r>
      <w:r>
        <w:rPr>
          <w:rFonts w:ascii="仿宋" w:hAnsi="仿宋" w:eastAsia="仿宋"/>
          <w:b/>
          <w:bCs/>
          <w:sz w:val="24"/>
          <w:szCs w:val="21"/>
          <w:highlight w:val="none"/>
        </w:rPr>
        <w:t>流程：</w:t>
      </w:r>
    </w:p>
    <w:p w14:paraId="40AB4037">
      <w:pPr>
        <w:pageBreakBefore w:val="0"/>
        <w:kinsoku/>
        <w:wordWrap w:val="0"/>
        <w:bidi w:val="0"/>
        <w:spacing w:line="240" w:lineRule="auto"/>
        <w:ind w:firstLine="480" w:firstLineChars="200"/>
        <w:rPr>
          <w:rFonts w:ascii="仿宋" w:hAnsi="仿宋" w:eastAsia="仿宋"/>
          <w:bCs/>
          <w:sz w:val="24"/>
          <w:szCs w:val="21"/>
          <w:highlight w:val="none"/>
        </w:rPr>
      </w:pPr>
      <w:r>
        <w:rPr>
          <w:rFonts w:hint="eastAsia" w:ascii="仿宋" w:hAnsi="仿宋" w:eastAsia="仿宋" w:cs="仿宋"/>
          <w:sz w:val="24"/>
          <w:szCs w:val="21"/>
          <w:highlight w:val="none"/>
        </w:rPr>
        <w:t>通过资格审查的投标人数量符合下表条件时，才能进入后续详细评审，否则本项目废标：</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1"/>
        <w:gridCol w:w="5365"/>
      </w:tblGrid>
      <w:tr w14:paraId="33B3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931" w:type="dxa"/>
            <w:vAlign w:val="center"/>
          </w:tcPr>
          <w:p w14:paraId="0868724A">
            <w:pPr>
              <w:pageBreakBefore w:val="0"/>
              <w:widowControl w:val="0"/>
              <w:kinsoku/>
              <w:wordWrap w:val="0"/>
              <w:bidi w:val="0"/>
              <w:spacing w:line="240" w:lineRule="auto"/>
              <w:jc w:val="center"/>
              <w:rPr>
                <w:rFonts w:ascii="仿宋" w:hAnsi="仿宋" w:eastAsia="仿宋" w:cs="仿宋"/>
                <w:kern w:val="2"/>
                <w:sz w:val="24"/>
                <w:szCs w:val="21"/>
                <w:highlight w:val="none"/>
                <w:lang w:val="en-US" w:eastAsia="zh-CN" w:bidi="ar-SA"/>
              </w:rPr>
            </w:pPr>
            <w:r>
              <w:rPr>
                <w:rFonts w:hint="eastAsia" w:ascii="仿宋" w:hAnsi="仿宋" w:eastAsia="仿宋" w:cs="仿宋"/>
                <w:kern w:val="2"/>
                <w:sz w:val="24"/>
                <w:szCs w:val="21"/>
                <w:highlight w:val="none"/>
                <w:lang w:val="en-US" w:eastAsia="zh-CN" w:bidi="ar-SA"/>
              </w:rPr>
              <w:t>各标包中标人/</w:t>
            </w:r>
            <w:r>
              <w:rPr>
                <w:rFonts w:hint="eastAsia" w:ascii="仿宋" w:hAnsi="仿宋" w:eastAsia="仿宋" w:cs="Times New Roman"/>
                <w:kern w:val="2"/>
                <w:sz w:val="24"/>
                <w:szCs w:val="21"/>
                <w:highlight w:val="none"/>
                <w:lang w:val="en-US" w:eastAsia="zh-CN" w:bidi="ar-SA"/>
              </w:rPr>
              <w:t>入围供应商</w:t>
            </w:r>
            <w:r>
              <w:rPr>
                <w:rFonts w:hint="eastAsia" w:ascii="仿宋" w:hAnsi="仿宋" w:eastAsia="仿宋" w:cs="仿宋"/>
                <w:kern w:val="2"/>
                <w:sz w:val="24"/>
                <w:szCs w:val="21"/>
                <w:highlight w:val="none"/>
                <w:lang w:val="en-US" w:eastAsia="zh-CN" w:bidi="ar-SA"/>
              </w:rPr>
              <w:t>数量</w:t>
            </w:r>
          </w:p>
          <w:p w14:paraId="55AD19D0">
            <w:pPr>
              <w:pageBreakBefore w:val="0"/>
              <w:widowControl w:val="0"/>
              <w:kinsoku/>
              <w:wordWrap w:val="0"/>
              <w:bidi w:val="0"/>
              <w:spacing w:line="240" w:lineRule="auto"/>
              <w:jc w:val="center"/>
              <w:rPr>
                <w:rFonts w:ascii="仿宋_GB2312" w:hAnsi="宋体" w:eastAsia="仿宋" w:cs="Times New Roman"/>
                <w:kern w:val="2"/>
                <w:sz w:val="24"/>
                <w:szCs w:val="21"/>
                <w:highlight w:val="none"/>
                <w:lang w:val="en-US" w:eastAsia="zh-CN" w:bidi="ar-SA"/>
              </w:rPr>
            </w:pPr>
            <w:r>
              <w:rPr>
                <w:rFonts w:hint="eastAsia" w:ascii="仿宋" w:hAnsi="仿宋" w:eastAsia="仿宋" w:cs="仿宋"/>
                <w:kern w:val="2"/>
                <w:sz w:val="24"/>
                <w:szCs w:val="21"/>
                <w:highlight w:val="none"/>
                <w:lang w:val="en-US" w:eastAsia="zh-CN" w:bidi="ar-SA"/>
              </w:rPr>
              <w:t>【</w:t>
            </w:r>
            <w:r>
              <w:rPr>
                <w:rFonts w:hint="eastAsia" w:ascii="仿宋" w:hAnsi="仿宋" w:eastAsia="仿宋" w:cs="仿宋"/>
                <w:bCs/>
                <w:kern w:val="2"/>
                <w:sz w:val="24"/>
                <w:szCs w:val="21"/>
                <w:highlight w:val="none"/>
                <w:lang w:val="en-US" w:eastAsia="zh-CN" w:bidi="ar-SA"/>
              </w:rPr>
              <w:t>X</w:t>
            </w:r>
            <w:r>
              <w:rPr>
                <w:rFonts w:hint="eastAsia" w:ascii="仿宋" w:hAnsi="仿宋" w:eastAsia="仿宋" w:cs="仿宋"/>
                <w:kern w:val="2"/>
                <w:sz w:val="24"/>
                <w:szCs w:val="21"/>
                <w:highlight w:val="none"/>
                <w:lang w:val="en-US" w:eastAsia="zh-CN" w:bidi="ar-SA"/>
              </w:rPr>
              <w:t>家】</w:t>
            </w:r>
          </w:p>
        </w:tc>
        <w:tc>
          <w:tcPr>
            <w:tcW w:w="5365" w:type="dxa"/>
            <w:vAlign w:val="center"/>
          </w:tcPr>
          <w:p w14:paraId="53CFF1ED">
            <w:pPr>
              <w:pageBreakBefore w:val="0"/>
              <w:widowControl w:val="0"/>
              <w:kinsoku/>
              <w:wordWrap w:val="0"/>
              <w:bidi w:val="0"/>
              <w:spacing w:line="240" w:lineRule="auto"/>
              <w:jc w:val="center"/>
              <w:rPr>
                <w:rFonts w:ascii="仿宋_GB2312" w:hAnsi="宋体" w:eastAsia="仿宋" w:cs="Times New Roman"/>
                <w:kern w:val="2"/>
                <w:sz w:val="24"/>
                <w:szCs w:val="21"/>
                <w:highlight w:val="none"/>
                <w:lang w:val="en-US" w:eastAsia="zh-CN" w:bidi="ar-SA"/>
              </w:rPr>
            </w:pPr>
            <w:r>
              <w:rPr>
                <w:rFonts w:hint="eastAsia" w:ascii="仿宋" w:hAnsi="仿宋" w:eastAsia="仿宋" w:cs="仿宋"/>
                <w:kern w:val="2"/>
                <w:sz w:val="24"/>
                <w:szCs w:val="21"/>
                <w:highlight w:val="none"/>
                <w:lang w:val="en-US" w:eastAsia="zh-CN" w:bidi="ar-SA"/>
              </w:rPr>
              <w:t>通过最终资格审查的投标人数量</w:t>
            </w:r>
          </w:p>
        </w:tc>
      </w:tr>
      <w:tr w14:paraId="084CE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931" w:type="dxa"/>
            <w:vAlign w:val="center"/>
          </w:tcPr>
          <w:p w14:paraId="2DE5ABB5">
            <w:pPr>
              <w:pageBreakBefore w:val="0"/>
              <w:widowControl w:val="0"/>
              <w:kinsoku/>
              <w:wordWrap w:val="0"/>
              <w:bidi w:val="0"/>
              <w:spacing w:line="240" w:lineRule="auto"/>
              <w:jc w:val="center"/>
              <w:rPr>
                <w:rFonts w:ascii="仿宋_GB2312" w:hAnsi="仿宋_GB2312" w:eastAsia="仿宋_GB2312" w:cs="仿宋_GB2312"/>
                <w:kern w:val="2"/>
                <w:sz w:val="24"/>
                <w:szCs w:val="21"/>
                <w:highlight w:val="none"/>
                <w:lang w:val="en-US" w:eastAsia="zh-CN" w:bidi="ar-SA"/>
              </w:rPr>
            </w:pPr>
            <w:r>
              <w:rPr>
                <w:rFonts w:ascii="仿宋" w:hAnsi="仿宋" w:eastAsia="仿宋" w:cs="仿宋"/>
                <w:kern w:val="2"/>
                <w:sz w:val="24"/>
                <w:szCs w:val="21"/>
                <w:highlight w:val="none"/>
                <w:lang w:val="en-US" w:eastAsia="zh-CN" w:bidi="ar-SA"/>
              </w:rPr>
              <w:t>X</w:t>
            </w:r>
            <w:r>
              <w:rPr>
                <w:rFonts w:ascii="仿宋" w:hAnsi="仿宋" w:eastAsia="仿宋" w:cs="仿宋"/>
                <w:bCs/>
                <w:kern w:val="2"/>
                <w:sz w:val="24"/>
                <w:szCs w:val="21"/>
                <w:highlight w:val="none"/>
                <w:lang w:val="en-US" w:eastAsia="zh-CN" w:bidi="ar-SA"/>
              </w:rPr>
              <w:t>=1</w:t>
            </w:r>
          </w:p>
        </w:tc>
        <w:tc>
          <w:tcPr>
            <w:tcW w:w="5365" w:type="dxa"/>
            <w:vAlign w:val="center"/>
          </w:tcPr>
          <w:p w14:paraId="7055F9B1">
            <w:pPr>
              <w:pageBreakBefore w:val="0"/>
              <w:widowControl w:val="0"/>
              <w:kinsoku/>
              <w:wordWrap w:val="0"/>
              <w:bidi w:val="0"/>
              <w:spacing w:line="240" w:lineRule="auto"/>
              <w:ind w:firstLine="1680" w:firstLineChars="700"/>
              <w:jc w:val="left"/>
              <w:rPr>
                <w:rFonts w:ascii="仿宋" w:hAnsi="仿宋" w:eastAsia="仿宋" w:cs="仿宋"/>
                <w:kern w:val="2"/>
                <w:sz w:val="24"/>
                <w:szCs w:val="21"/>
                <w:highlight w:val="none"/>
                <w:lang w:val="en-US" w:eastAsia="zh-CN" w:bidi="ar-SA"/>
              </w:rPr>
            </w:pPr>
            <w:r>
              <w:rPr>
                <w:rFonts w:hint="eastAsia" w:ascii="仿宋_GB2312" w:hAnsi="宋体" w:eastAsia="仿宋" w:cs="Times New Roman"/>
                <w:kern w:val="2"/>
                <w:sz w:val="24"/>
                <w:szCs w:val="21"/>
                <w:highlight w:val="none"/>
                <w:lang w:val="en-US" w:eastAsia="zh-CN" w:bidi="ar-SA"/>
              </w:rPr>
              <w:t>不少于3家</w:t>
            </w:r>
          </w:p>
        </w:tc>
      </w:tr>
    </w:tbl>
    <w:p w14:paraId="746505AD">
      <w:pPr>
        <w:pageBreakBefore w:val="0"/>
        <w:numPr>
          <w:ilvl w:val="0"/>
          <w:numId w:val="1"/>
        </w:numPr>
        <w:kinsoku/>
        <w:wordWrap w:val="0"/>
        <w:bidi w:val="0"/>
        <w:spacing w:line="360" w:lineRule="auto"/>
        <w:ind w:left="0" w:firstLine="0"/>
        <w:outlineLvl w:val="1"/>
        <w:rPr>
          <w:rFonts w:ascii="仿宋" w:hAnsi="仿宋" w:eastAsia="仿宋" w:cs="仿宋"/>
          <w:b/>
          <w:bCs/>
          <w:sz w:val="24"/>
          <w:szCs w:val="21"/>
          <w:highlight w:val="none"/>
        </w:rPr>
      </w:pPr>
      <w:bookmarkStart w:id="18" w:name="_Toc24544"/>
      <w:r>
        <w:rPr>
          <w:rFonts w:hint="eastAsia" w:ascii="仿宋" w:hAnsi="仿宋" w:eastAsia="仿宋" w:cs="仿宋"/>
          <w:b/>
          <w:bCs/>
          <w:sz w:val="24"/>
          <w:szCs w:val="21"/>
          <w:highlight w:val="none"/>
        </w:rPr>
        <w:t>合格投标人的基本资质要求（须同时满足）</w:t>
      </w:r>
      <w:r>
        <w:rPr>
          <w:rFonts w:hint="eastAsia" w:ascii="仿宋" w:hAnsi="仿宋" w:eastAsia="仿宋" w:cs="仿宋"/>
          <w:b/>
          <w:bCs/>
          <w:sz w:val="24"/>
          <w:szCs w:val="21"/>
          <w:highlight w:val="none"/>
          <w:lang w:eastAsia="zh-CN"/>
        </w:rPr>
        <w:t>（</w:t>
      </w:r>
      <w:r>
        <w:rPr>
          <w:rFonts w:hint="eastAsia" w:ascii="宋体" w:hAnsi="宋体" w:eastAsia="宋体"/>
          <w:sz w:val="24"/>
          <w:szCs w:val="21"/>
          <w:highlight w:val="none"/>
          <w:lang w:val="en-US" w:eastAsia="zh-CN"/>
        </w:rPr>
        <w:t>标包</w:t>
      </w:r>
      <w:r>
        <w:rPr>
          <w:rFonts w:hint="eastAsia" w:ascii="宋体" w:hAnsi="宋体" w:eastAsia="宋体"/>
          <w:sz w:val="24"/>
          <w:szCs w:val="21"/>
          <w:highlight w:val="none"/>
        </w:rPr>
        <w:t>1至</w:t>
      </w:r>
      <w:r>
        <w:rPr>
          <w:rFonts w:hint="eastAsia" w:ascii="宋体" w:hAnsi="宋体" w:eastAsia="宋体"/>
          <w:sz w:val="24"/>
          <w:szCs w:val="21"/>
          <w:highlight w:val="none"/>
          <w:lang w:val="en-US" w:eastAsia="zh-CN"/>
        </w:rPr>
        <w:t>标包3</w:t>
      </w:r>
      <w:r>
        <w:rPr>
          <w:rFonts w:hint="eastAsia" w:ascii="宋体" w:hAnsi="宋体" w:eastAsia="宋体"/>
          <w:sz w:val="24"/>
          <w:szCs w:val="21"/>
          <w:highlight w:val="none"/>
        </w:rPr>
        <w:t>均适用</w:t>
      </w:r>
      <w:r>
        <w:rPr>
          <w:rFonts w:hint="eastAsia" w:ascii="仿宋" w:hAnsi="仿宋" w:eastAsia="仿宋" w:cs="仿宋"/>
          <w:b/>
          <w:bCs/>
          <w:sz w:val="24"/>
          <w:szCs w:val="21"/>
          <w:highlight w:val="none"/>
          <w:lang w:eastAsia="zh-CN"/>
        </w:rPr>
        <w:t>）</w:t>
      </w:r>
      <w:r>
        <w:rPr>
          <w:rFonts w:hint="eastAsia" w:ascii="仿宋" w:hAnsi="仿宋" w:eastAsia="仿宋" w:cs="仿宋"/>
          <w:b/>
          <w:bCs/>
          <w:sz w:val="24"/>
          <w:szCs w:val="21"/>
          <w:highlight w:val="none"/>
        </w:rPr>
        <w:t>：</w:t>
      </w:r>
      <w:bookmarkEnd w:id="13"/>
      <w:bookmarkEnd w:id="14"/>
      <w:bookmarkEnd w:id="15"/>
      <w:bookmarkEnd w:id="16"/>
      <w:bookmarkEnd w:id="17"/>
      <w:bookmarkEnd w:id="18"/>
      <w:bookmarkStart w:id="19" w:name="_Toc31641"/>
      <w:bookmarkStart w:id="20" w:name="_Toc149230389"/>
      <w:bookmarkStart w:id="21" w:name="_Toc5886"/>
      <w:bookmarkStart w:id="22" w:name="_Toc108796135"/>
      <w:bookmarkStart w:id="23" w:name="_Toc150933573"/>
    </w:p>
    <w:p w14:paraId="3233DF92">
      <w:pPr>
        <w:pageBreakBefore w:val="0"/>
        <w:numPr>
          <w:ilvl w:val="0"/>
          <w:numId w:val="4"/>
        </w:numPr>
        <w:tabs>
          <w:tab w:val="left" w:pos="0"/>
          <w:tab w:val="left" w:pos="1260"/>
          <w:tab w:val="left" w:pos="1440"/>
        </w:tabs>
        <w:kinsoku/>
        <w:wordWrap w:val="0"/>
        <w:bidi w:val="0"/>
        <w:spacing w:line="360" w:lineRule="auto"/>
        <w:ind w:left="0" w:firstLine="420"/>
        <w:rPr>
          <w:rFonts w:ascii="仿宋" w:hAnsi="仿宋" w:eastAsia="仿宋" w:cs="仿宋"/>
          <w:sz w:val="24"/>
          <w:szCs w:val="21"/>
          <w:highlight w:val="none"/>
        </w:rPr>
      </w:pPr>
      <w:r>
        <w:rPr>
          <w:rFonts w:hint="eastAsia" w:ascii="仿宋" w:hAnsi="仿宋" w:eastAsia="仿宋" w:cs="宋体"/>
          <w:b/>
          <w:bCs/>
          <w:sz w:val="24"/>
          <w:szCs w:val="21"/>
          <w:highlight w:val="none"/>
        </w:rPr>
        <w:t>投标人及所报产品/服务</w:t>
      </w:r>
      <w:r>
        <w:rPr>
          <w:rFonts w:hint="eastAsia" w:ascii="仿宋" w:hAnsi="仿宋" w:eastAsia="仿宋"/>
          <w:b/>
          <w:bCs/>
          <w:sz w:val="24"/>
          <w:szCs w:val="21"/>
          <w:highlight w:val="none"/>
        </w:rPr>
        <w:t>的资质要求如下：</w:t>
      </w:r>
    </w:p>
    <w:p w14:paraId="5B60C045">
      <w:pPr>
        <w:pageBreakBefore w:val="0"/>
        <w:widowControl w:val="0"/>
        <w:numPr>
          <w:ilvl w:val="0"/>
          <w:numId w:val="5"/>
        </w:numPr>
        <w:kinsoku/>
        <w:wordWrap w:val="0"/>
        <w:autoSpaceDE w:val="0"/>
        <w:bidi w:val="0"/>
        <w:spacing w:beforeAutospacing="0" w:afterAutospacing="0" w:line="240" w:lineRule="auto"/>
        <w:ind w:left="-53" w:leftChars="-25" w:firstLine="624"/>
        <w:jc w:val="left"/>
        <w:rPr>
          <w:rFonts w:ascii="仿宋" w:hAnsi="仿宋" w:eastAsia="仿宋" w:cs="仿宋"/>
          <w:kern w:val="0"/>
          <w:sz w:val="24"/>
          <w:szCs w:val="24"/>
          <w:highlight w:val="none"/>
          <w:lang w:val="en-US" w:eastAsia="zh-CN" w:bidi="ar-SA"/>
        </w:rPr>
      </w:pPr>
      <w:r>
        <w:rPr>
          <w:rFonts w:hint="eastAsia" w:ascii="仿宋" w:hAnsi="仿宋" w:eastAsia="仿宋" w:cs="仿宋"/>
          <w:bCs/>
          <w:kern w:val="2"/>
          <w:sz w:val="24"/>
          <w:szCs w:val="24"/>
          <w:highlight w:val="none"/>
          <w:shd w:val="clear" w:color="auto" w:fill="FFFFFF"/>
          <w:lang w:val="en-US" w:eastAsia="zh-CN" w:bidi="ar-SA"/>
        </w:rPr>
        <w:t>投标人须具有独立承担民事责任的能力，遵守法律、法规，具有良好的商业信誉和健全的财务会计制度</w:t>
      </w:r>
      <w:r>
        <w:rPr>
          <w:rFonts w:hint="eastAsia" w:ascii="仿宋" w:hAnsi="仿宋" w:eastAsia="仿宋" w:cs="仿宋"/>
          <w:kern w:val="0"/>
          <w:sz w:val="24"/>
          <w:szCs w:val="24"/>
          <w:highlight w:val="none"/>
          <w:lang w:val="en-US" w:eastAsia="zh-CN" w:bidi="ar-SA"/>
        </w:rPr>
        <w:t>。</w:t>
      </w:r>
    </w:p>
    <w:p w14:paraId="2C298051">
      <w:pPr>
        <w:pageBreakBefore w:val="0"/>
        <w:numPr>
          <w:ilvl w:val="0"/>
          <w:numId w:val="5"/>
        </w:numPr>
        <w:kinsoku/>
        <w:wordWrap w:val="0"/>
        <w:bidi w:val="0"/>
        <w:spacing w:line="240" w:lineRule="auto"/>
        <w:ind w:left="-53" w:leftChars="-25" w:firstLine="624" w:firstLineChars="0"/>
        <w:rPr>
          <w:rFonts w:hint="eastAsia" w:ascii="仿宋" w:hAnsi="仿宋" w:eastAsia="仿宋" w:cs="仿宋"/>
          <w:sz w:val="24"/>
          <w:szCs w:val="21"/>
          <w:highlight w:val="none"/>
        </w:rPr>
      </w:pPr>
      <w:r>
        <w:rPr>
          <w:rFonts w:hint="eastAsia" w:ascii="仿宋" w:hAnsi="仿宋" w:eastAsia="仿宋" w:cs="仿宋"/>
          <w:sz w:val="24"/>
          <w:szCs w:val="21"/>
          <w:highlight w:val="none"/>
        </w:rPr>
        <w:t>投标人自</w:t>
      </w:r>
      <w:r>
        <w:rPr>
          <w:rFonts w:ascii="仿宋" w:hAnsi="仿宋" w:eastAsia="仿宋" w:cs="仿宋"/>
          <w:sz w:val="24"/>
          <w:szCs w:val="21"/>
          <w:highlight w:val="none"/>
        </w:rPr>
        <w:t>20</w:t>
      </w:r>
      <w:r>
        <w:rPr>
          <w:rFonts w:hint="eastAsia" w:ascii="仿宋" w:hAnsi="仿宋" w:eastAsia="仿宋" w:cs="仿宋"/>
          <w:sz w:val="24"/>
          <w:szCs w:val="21"/>
          <w:highlight w:val="none"/>
          <w:lang w:val="en-US" w:eastAsia="zh-CN"/>
        </w:rPr>
        <w:t>23</w:t>
      </w:r>
      <w:r>
        <w:rPr>
          <w:rFonts w:hint="eastAsia" w:ascii="仿宋" w:hAnsi="仿宋" w:eastAsia="仿宋" w:cs="仿宋"/>
          <w:sz w:val="24"/>
          <w:szCs w:val="21"/>
          <w:highlight w:val="none"/>
        </w:rPr>
        <w:t>年1月1日起至投标文件递交截止日（含）止（以业绩证明文件签署时间为准），须具有承接过</w:t>
      </w:r>
      <w:r>
        <w:rPr>
          <w:rFonts w:hint="eastAsia" w:ascii="仿宋" w:hAnsi="仿宋" w:eastAsia="仿宋" w:cs="仿宋"/>
          <w:sz w:val="24"/>
          <w:szCs w:val="21"/>
          <w:highlight w:val="none"/>
          <w:lang w:eastAsia="zh-CN"/>
        </w:rPr>
        <w:t>年合同金额不低于</w:t>
      </w:r>
      <w:r>
        <w:rPr>
          <w:rFonts w:hint="eastAsia" w:ascii="仿宋" w:hAnsi="仿宋" w:eastAsia="仿宋" w:cs="仿宋"/>
          <w:sz w:val="24"/>
          <w:szCs w:val="21"/>
          <w:highlight w:val="none"/>
          <w:lang w:val="en-US" w:eastAsia="zh-CN"/>
        </w:rPr>
        <w:t>200万元的</w:t>
      </w:r>
      <w:r>
        <w:rPr>
          <w:rFonts w:hint="eastAsia" w:ascii="仿宋" w:hAnsi="仿宋" w:eastAsia="仿宋" w:cs="仿宋"/>
          <w:sz w:val="24"/>
          <w:szCs w:val="21"/>
          <w:highlight w:val="none"/>
        </w:rPr>
        <w:t>政府机</w:t>
      </w:r>
      <w:r>
        <w:rPr>
          <w:rFonts w:hint="eastAsia" w:ascii="仿宋" w:hAnsi="仿宋" w:eastAsia="仿宋" w:cs="仿宋"/>
          <w:sz w:val="24"/>
          <w:szCs w:val="21"/>
          <w:highlight w:val="none"/>
          <w:lang w:val="en-US" w:eastAsia="zh-CN"/>
        </w:rPr>
        <w:t>关/事业单位/金融机构的类似案例【类似案例指：非住宅类物业服务项目】。</w:t>
      </w:r>
    </w:p>
    <w:p w14:paraId="397E671F">
      <w:pPr>
        <w:pageBreakBefore w:val="0"/>
        <w:numPr>
          <w:ilvl w:val="0"/>
          <w:numId w:val="5"/>
        </w:numPr>
        <w:kinsoku/>
        <w:wordWrap w:val="0"/>
        <w:bidi w:val="0"/>
        <w:spacing w:line="240" w:lineRule="auto"/>
        <w:ind w:left="-53" w:leftChars="-25" w:firstLine="624" w:firstLineChars="0"/>
        <w:rPr>
          <w:rFonts w:hint="eastAsia" w:ascii="仿宋" w:hAnsi="仿宋" w:eastAsia="仿宋" w:cs="仿宋"/>
          <w:sz w:val="24"/>
          <w:szCs w:val="21"/>
          <w:highlight w:val="none"/>
          <w:lang w:val="en-US" w:eastAsia="zh-CN"/>
        </w:rPr>
      </w:pPr>
      <w:r>
        <w:rPr>
          <w:rFonts w:hint="eastAsia" w:ascii="仿宋" w:hAnsi="仿宋" w:eastAsia="仿宋" w:cs="仿宋"/>
          <w:sz w:val="24"/>
          <w:szCs w:val="21"/>
          <w:highlight w:val="none"/>
          <w:lang w:val="en-US" w:eastAsia="zh-CN"/>
        </w:rPr>
        <w:t>投标人在近三年内（2023年1月1日至招标公告发布之日（含）止）不存在围串标等采购违规行为处罚记录。</w:t>
      </w:r>
    </w:p>
    <w:p w14:paraId="4F4CE4BD">
      <w:pPr>
        <w:pageBreakBefore w:val="0"/>
        <w:numPr>
          <w:ilvl w:val="0"/>
          <w:numId w:val="5"/>
        </w:numPr>
        <w:kinsoku/>
        <w:wordWrap w:val="0"/>
        <w:bidi w:val="0"/>
        <w:spacing w:line="240" w:lineRule="auto"/>
        <w:ind w:left="-53" w:leftChars="-25" w:firstLine="624" w:firstLineChars="0"/>
        <w:rPr>
          <w:rFonts w:hint="eastAsia" w:ascii="仿宋" w:hAnsi="仿宋" w:eastAsia="仿宋" w:cs="仿宋"/>
          <w:sz w:val="24"/>
          <w:szCs w:val="21"/>
          <w:highlight w:val="none"/>
          <w:lang w:val="en-US" w:eastAsia="zh-CN"/>
        </w:rPr>
      </w:pPr>
      <w:r>
        <w:rPr>
          <w:rFonts w:hint="eastAsia" w:ascii="仿宋" w:hAnsi="仿宋" w:eastAsia="仿宋" w:cs="仿宋"/>
          <w:sz w:val="24"/>
          <w:szCs w:val="21"/>
          <w:highlight w:val="none"/>
          <w:lang w:val="en-US" w:eastAsia="zh-CN"/>
        </w:rPr>
        <w:t>投标人不得为本项目（标段）的前期准备或者监理工作提供设计、咨询服务的任何法人及其任何附属机构（单位）；投标人不得为本项目（标段）的监理单位、招标代理机构、造价咨询单位、代建单位或全过程工程咨询单位。</w:t>
      </w:r>
    </w:p>
    <w:p w14:paraId="6C6B8BE5">
      <w:pPr>
        <w:pageBreakBefore w:val="0"/>
        <w:numPr>
          <w:ilvl w:val="0"/>
          <w:numId w:val="4"/>
        </w:numPr>
        <w:tabs>
          <w:tab w:val="left" w:pos="0"/>
          <w:tab w:val="left" w:pos="1260"/>
          <w:tab w:val="left" w:pos="1440"/>
        </w:tabs>
        <w:kinsoku/>
        <w:wordWrap w:val="0"/>
        <w:bidi w:val="0"/>
        <w:spacing w:line="360" w:lineRule="auto"/>
        <w:ind w:left="0" w:firstLine="420"/>
        <w:rPr>
          <w:rFonts w:ascii="仿宋" w:hAnsi="仿宋" w:eastAsia="仿宋" w:cs="仿宋"/>
          <w:sz w:val="24"/>
          <w:szCs w:val="21"/>
          <w:highlight w:val="none"/>
        </w:rPr>
      </w:pPr>
      <w:r>
        <w:rPr>
          <w:rFonts w:ascii="仿宋" w:hAnsi="仿宋" w:eastAsia="仿宋"/>
          <w:b/>
          <w:bCs/>
          <w:sz w:val="24"/>
          <w:szCs w:val="21"/>
          <w:highlight w:val="none"/>
        </w:rPr>
        <w:t>其他必须满足的要求：</w:t>
      </w:r>
    </w:p>
    <w:p w14:paraId="4FDB5ACF">
      <w:pPr>
        <w:pageBreakBefore w:val="0"/>
        <w:numPr>
          <w:ilvl w:val="0"/>
          <w:numId w:val="6"/>
        </w:numPr>
        <w:kinsoku/>
        <w:wordWrap w:val="0"/>
        <w:bidi w:val="0"/>
        <w:spacing w:line="240" w:lineRule="auto"/>
        <w:ind w:left="-53" w:leftChars="-25"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投标人须在法律和财务上独立、合法运作并独立于招标人和招标代理机构，不得直接或间接地与招标人为本项目所委托的咨询公司或其附属机构有任何关联。</w:t>
      </w:r>
    </w:p>
    <w:p w14:paraId="24DE7DED">
      <w:pPr>
        <w:pageBreakBefore w:val="0"/>
        <w:numPr>
          <w:ilvl w:val="0"/>
          <w:numId w:val="6"/>
        </w:numPr>
        <w:kinsoku/>
        <w:wordWrap w:val="0"/>
        <w:bidi w:val="0"/>
        <w:spacing w:line="240" w:lineRule="auto"/>
        <w:ind w:left="-53" w:leftChars="-25"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投标人必须从招标代理机构获得招标文件并登记备案，否则不能参加本次招标。</w:t>
      </w:r>
      <w:bookmarkStart w:id="24" w:name="_Toc150933564"/>
    </w:p>
    <w:p w14:paraId="73D6B28E">
      <w:pPr>
        <w:pageBreakBefore w:val="0"/>
        <w:numPr>
          <w:ilvl w:val="0"/>
          <w:numId w:val="6"/>
        </w:numPr>
        <w:kinsoku/>
        <w:wordWrap w:val="0"/>
        <w:bidi w:val="0"/>
        <w:spacing w:line="240" w:lineRule="auto"/>
        <w:ind w:left="-53" w:leftChars="-25"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联合体投标：</w:t>
      </w:r>
      <w:bookmarkEnd w:id="24"/>
      <w:bookmarkStart w:id="25" w:name="_Toc150933567"/>
    </w:p>
    <w:p w14:paraId="413D073D">
      <w:pPr>
        <w:pageBreakBefore w:val="0"/>
        <w:kinsoku/>
        <w:wordWrap w:val="0"/>
        <w:bidi w:val="0"/>
        <w:spacing w:line="240" w:lineRule="auto"/>
        <w:ind w:firstLine="480" w:firstLineChars="200"/>
        <w:rPr>
          <w:rFonts w:ascii="仿宋" w:hAnsi="仿宋" w:eastAsia="仿宋" w:cs="仿宋"/>
          <w:bCs/>
          <w:sz w:val="24"/>
          <w:szCs w:val="21"/>
          <w:highlight w:val="none"/>
        </w:rPr>
      </w:pPr>
      <w:bookmarkStart w:id="26" w:name="_Toc150933565"/>
      <w:r>
        <w:rPr>
          <w:rFonts w:hint="eastAsia" w:ascii="仿宋" w:hAnsi="仿宋" w:eastAsia="仿宋" w:cs="仿宋"/>
          <w:bCs/>
          <w:sz w:val="24"/>
          <w:szCs w:val="21"/>
          <w:highlight w:val="none"/>
          <w:lang w:eastAsia="zh-CN"/>
        </w:rPr>
        <w:t>☑</w:t>
      </w:r>
      <w:r>
        <w:rPr>
          <w:rFonts w:hint="eastAsia" w:ascii="仿宋" w:hAnsi="仿宋" w:eastAsia="仿宋" w:cs="仿宋"/>
          <w:bCs/>
          <w:sz w:val="24"/>
          <w:szCs w:val="21"/>
          <w:highlight w:val="none"/>
        </w:rPr>
        <w:t>本项目不接受联合体投标</w:t>
      </w:r>
      <w:bookmarkEnd w:id="26"/>
    </w:p>
    <w:p w14:paraId="0AB12EC9">
      <w:pPr>
        <w:pageBreakBefore w:val="0"/>
        <w:kinsoku/>
        <w:wordWrap w:val="0"/>
        <w:bidi w:val="0"/>
        <w:spacing w:line="240" w:lineRule="auto"/>
        <w:ind w:firstLine="480" w:firstLineChars="200"/>
        <w:rPr>
          <w:rFonts w:ascii="仿宋" w:hAnsi="仿宋" w:eastAsia="仿宋" w:cs="仿宋"/>
          <w:bCs/>
          <w:sz w:val="24"/>
          <w:szCs w:val="21"/>
          <w:highlight w:val="none"/>
        </w:rPr>
      </w:pPr>
      <w:bookmarkStart w:id="27" w:name="_Toc150933566"/>
      <w:r>
        <w:rPr>
          <w:rFonts w:hint="eastAsia" w:ascii="仿宋" w:hAnsi="仿宋" w:eastAsia="仿宋" w:cs="仿宋"/>
          <w:bCs/>
          <w:sz w:val="24"/>
          <w:szCs w:val="21"/>
          <w:highlight w:val="none"/>
        </w:rPr>
        <w:t>□其他情形</w:t>
      </w:r>
      <w:bookmarkEnd w:id="27"/>
    </w:p>
    <w:p w14:paraId="6D463BF7">
      <w:pPr>
        <w:pageBreakBefore w:val="0"/>
        <w:numPr>
          <w:ilvl w:val="0"/>
          <w:numId w:val="6"/>
        </w:numPr>
        <w:kinsoku/>
        <w:wordWrap w:val="0"/>
        <w:bidi w:val="0"/>
        <w:spacing w:line="240" w:lineRule="auto"/>
        <w:ind w:left="-53" w:leftChars="-25"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项目分包：</w:t>
      </w:r>
      <w:bookmarkEnd w:id="25"/>
      <w:bookmarkStart w:id="28" w:name="_Toc150933570"/>
    </w:p>
    <w:p w14:paraId="7F8BBBB2">
      <w:pPr>
        <w:pageBreakBefore w:val="0"/>
        <w:kinsoku/>
        <w:wordWrap w:val="0"/>
        <w:bidi w:val="0"/>
        <w:spacing w:line="240" w:lineRule="auto"/>
        <w:ind w:firstLine="480" w:firstLineChars="200"/>
        <w:rPr>
          <w:rFonts w:ascii="仿宋" w:hAnsi="仿宋" w:eastAsia="仿宋" w:cs="仿宋"/>
          <w:bCs/>
          <w:sz w:val="24"/>
          <w:szCs w:val="21"/>
          <w:highlight w:val="none"/>
        </w:rPr>
      </w:pPr>
      <w:bookmarkStart w:id="29" w:name="_Toc150933568"/>
      <w:r>
        <w:rPr>
          <w:rFonts w:hint="eastAsia" w:ascii="仿宋" w:hAnsi="仿宋" w:eastAsia="仿宋" w:cs="仿宋"/>
          <w:bCs/>
          <w:sz w:val="24"/>
          <w:szCs w:val="21"/>
          <w:highlight w:val="none"/>
        </w:rPr>
        <w:t>□未经招标人允许，投标人不得将本项目采购内容以任何方式进行分包。</w:t>
      </w:r>
      <w:bookmarkEnd w:id="29"/>
    </w:p>
    <w:p w14:paraId="3E6624FA">
      <w:pPr>
        <w:pageBreakBefore w:val="0"/>
        <w:kinsoku/>
        <w:wordWrap w:val="0"/>
        <w:bidi w:val="0"/>
        <w:spacing w:line="240" w:lineRule="auto"/>
        <w:ind w:firstLine="480" w:firstLineChars="200"/>
        <w:rPr>
          <w:rFonts w:ascii="仿宋" w:hAnsi="仿宋" w:eastAsia="仿宋" w:cs="仿宋"/>
          <w:bCs/>
          <w:sz w:val="24"/>
          <w:szCs w:val="21"/>
          <w:highlight w:val="none"/>
        </w:rPr>
      </w:pPr>
      <w:bookmarkStart w:id="30" w:name="_Toc150933569"/>
      <w:r>
        <w:rPr>
          <w:rFonts w:hint="eastAsia" w:ascii="仿宋" w:hAnsi="仿宋" w:eastAsia="仿宋" w:cs="仿宋"/>
          <w:bCs/>
          <w:sz w:val="24"/>
          <w:szCs w:val="21"/>
          <w:highlight w:val="none"/>
          <w:lang w:eastAsia="zh-CN"/>
        </w:rPr>
        <w:t>☑</w:t>
      </w:r>
      <w:r>
        <w:rPr>
          <w:rFonts w:hint="eastAsia" w:ascii="仿宋" w:hAnsi="仿宋" w:eastAsia="仿宋" w:cs="仿宋"/>
          <w:bCs/>
          <w:sz w:val="24"/>
          <w:szCs w:val="21"/>
          <w:highlight w:val="none"/>
        </w:rPr>
        <w:t>投标人不得将本项目采购内容以任何方式进行分包。</w:t>
      </w:r>
      <w:bookmarkEnd w:id="30"/>
    </w:p>
    <w:p w14:paraId="4FE8B321">
      <w:pPr>
        <w:pageBreakBefore w:val="0"/>
        <w:numPr>
          <w:ilvl w:val="0"/>
          <w:numId w:val="6"/>
        </w:numPr>
        <w:kinsoku/>
        <w:wordWrap w:val="0"/>
        <w:bidi w:val="0"/>
        <w:spacing w:line="240" w:lineRule="auto"/>
        <w:ind w:left="-53" w:leftChars="-25"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投标人</w:t>
      </w:r>
      <w:r>
        <w:rPr>
          <w:rFonts w:hint="eastAsia" w:ascii="仿宋" w:hAnsi="仿宋" w:eastAsia="仿宋" w:cs="仿宋"/>
          <w:bCs/>
          <w:sz w:val="24"/>
          <w:szCs w:val="21"/>
          <w:highlight w:val="none"/>
        </w:rPr>
        <w:t>不得将本项目采购内容以任何方式进行转</w:t>
      </w:r>
      <w:r>
        <w:rPr>
          <w:rFonts w:hint="eastAsia" w:ascii="仿宋" w:hAnsi="仿宋" w:eastAsia="仿宋" w:cs="仿宋"/>
          <w:sz w:val="24"/>
          <w:szCs w:val="21"/>
          <w:highlight w:val="none"/>
        </w:rPr>
        <w:t>包</w:t>
      </w:r>
      <w:bookmarkEnd w:id="28"/>
      <w:r>
        <w:rPr>
          <w:rFonts w:hint="eastAsia" w:ascii="仿宋" w:hAnsi="仿宋" w:eastAsia="仿宋" w:cs="仿宋"/>
          <w:sz w:val="24"/>
          <w:szCs w:val="21"/>
          <w:highlight w:val="none"/>
        </w:rPr>
        <w:t>。</w:t>
      </w:r>
    </w:p>
    <w:p w14:paraId="57493E19">
      <w:pPr>
        <w:pageBreakBefore w:val="0"/>
        <w:numPr>
          <w:ilvl w:val="0"/>
          <w:numId w:val="6"/>
        </w:numPr>
        <w:kinsoku/>
        <w:wordWrap w:val="0"/>
        <w:bidi w:val="0"/>
        <w:spacing w:line="240" w:lineRule="auto"/>
        <w:ind w:left="-53" w:leftChars="-25"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截至投标文件递交截止日（含），投标人未被“信用中国”网站（</w:t>
      </w:r>
      <w:r>
        <w:rPr>
          <w:rFonts w:hint="eastAsia" w:ascii="仿宋" w:hAnsi="仿宋" w:eastAsia="仿宋" w:cs="仿宋"/>
          <w:bCs/>
          <w:sz w:val="24"/>
          <w:szCs w:val="24"/>
          <w:highlight w:val="none"/>
        </w:rPr>
        <w:t>http</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//www.creditchina.gov.cn）</w:t>
      </w:r>
      <w:r>
        <w:rPr>
          <w:rFonts w:hint="eastAsia" w:ascii="仿宋" w:hAnsi="仿宋" w:eastAsia="仿宋" w:cs="仿宋"/>
          <w:sz w:val="24"/>
          <w:szCs w:val="21"/>
          <w:highlight w:val="none"/>
        </w:rPr>
        <w:t>列入失信被执行人、重大税收违法失信主体、政府采购严重违法失信行为记录名单（</w:t>
      </w:r>
      <w:r>
        <w:rPr>
          <w:rFonts w:hint="eastAsia" w:ascii="仿宋" w:hAnsi="仿宋" w:eastAsia="仿宋"/>
          <w:bCs/>
          <w:sz w:val="24"/>
          <w:szCs w:val="21"/>
          <w:highlight w:val="none"/>
        </w:rPr>
        <w:t>投标人需按附件要求提供查询截图。</w:t>
      </w:r>
      <w:r>
        <w:rPr>
          <w:rFonts w:hint="eastAsia" w:ascii="仿宋" w:hAnsi="仿宋" w:eastAsia="仿宋" w:cs="Arial"/>
          <w:bCs/>
          <w:color w:val="000000"/>
          <w:sz w:val="24"/>
          <w:szCs w:val="21"/>
          <w:highlight w:val="none"/>
        </w:rPr>
        <w:t>评标委员会在评标当日进行查询，如查询结果与投标文件不同，以评标委员会查询结果为准</w:t>
      </w:r>
      <w:r>
        <w:rPr>
          <w:rFonts w:hint="eastAsia" w:ascii="仿宋" w:hAnsi="仿宋" w:eastAsia="仿宋" w:cs="仿宋"/>
          <w:sz w:val="24"/>
          <w:szCs w:val="21"/>
          <w:highlight w:val="none"/>
        </w:rPr>
        <w:t>）。</w:t>
      </w:r>
    </w:p>
    <w:p w14:paraId="7D22B53D">
      <w:pPr>
        <w:pageBreakBefore w:val="0"/>
        <w:numPr>
          <w:ilvl w:val="0"/>
          <w:numId w:val="6"/>
        </w:numPr>
        <w:kinsoku/>
        <w:wordWrap w:val="0"/>
        <w:bidi w:val="0"/>
        <w:spacing w:line="240" w:lineRule="auto"/>
        <w:ind w:left="-53" w:leftChars="-25"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近3年（20</w:t>
      </w:r>
      <w:r>
        <w:rPr>
          <w:rFonts w:hint="eastAsia" w:ascii="仿宋" w:hAnsi="仿宋" w:eastAsia="仿宋" w:cs="仿宋"/>
          <w:sz w:val="24"/>
          <w:szCs w:val="21"/>
          <w:highlight w:val="none"/>
          <w:lang w:val="en-US" w:eastAsia="zh-CN"/>
        </w:rPr>
        <w:t>23</w:t>
      </w:r>
      <w:r>
        <w:rPr>
          <w:rFonts w:hint="eastAsia" w:ascii="仿宋" w:hAnsi="仿宋" w:eastAsia="仿宋" w:cs="仿宋"/>
          <w:sz w:val="24"/>
          <w:szCs w:val="21"/>
          <w:highlight w:val="none"/>
        </w:rPr>
        <w:t>年1月1日至投标文件递交截止日（含）止），投标人经营活动中没有重大违法违规记录或涉及环境保护、劳动用工、消费者权益保护等方面的重大违法违规行为。重大违法违规，是指投标人因违法经营受到刑事处罚或者责令停产停业、吊销许可证或者执照、人民币200万元以上（含）的罚款等行政处罚。</w:t>
      </w:r>
    </w:p>
    <w:p w14:paraId="53FCAC76">
      <w:pPr>
        <w:pageBreakBefore w:val="0"/>
        <w:numPr>
          <w:ilvl w:val="0"/>
          <w:numId w:val="6"/>
        </w:numPr>
        <w:kinsoku/>
        <w:wordWrap w:val="0"/>
        <w:bidi w:val="0"/>
        <w:spacing w:line="240" w:lineRule="auto"/>
        <w:ind w:left="-53" w:leftChars="-25"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截至投标文件递交截止日（含），投标人未处于中国银行供应商不良行为禁止准入处罚范围及处罚期内。</w:t>
      </w:r>
    </w:p>
    <w:p w14:paraId="09CD5DA5">
      <w:pPr>
        <w:pageBreakBefore w:val="0"/>
        <w:numPr>
          <w:ilvl w:val="0"/>
          <w:numId w:val="6"/>
        </w:numPr>
        <w:kinsoku/>
        <w:wordWrap w:val="0"/>
        <w:bidi w:val="0"/>
        <w:spacing w:line="240" w:lineRule="auto"/>
        <w:ind w:left="-53" w:leftChars="-25"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投标人须保证：招标人在使用其提供的货物/服务时，在使用的国家</w:t>
      </w:r>
      <w:r>
        <w:rPr>
          <w:rFonts w:hint="eastAsia" w:ascii="仿宋" w:hAnsi="仿宋" w:eastAsia="仿宋" w:cs="仿宋"/>
          <w:bCs/>
          <w:sz w:val="24"/>
          <w:szCs w:val="21"/>
          <w:highlight w:val="none"/>
        </w:rPr>
        <w:t>/</w:t>
      </w:r>
      <w:r>
        <w:rPr>
          <w:rFonts w:hint="eastAsia" w:ascii="仿宋" w:hAnsi="仿宋" w:eastAsia="仿宋" w:cs="仿宋"/>
          <w:sz w:val="24"/>
          <w:szCs w:val="21"/>
          <w:highlight w:val="none"/>
        </w:rPr>
        <w:t>地区不存在任何已知的不合法的情形，也不存在任何已知的与第三方专利权、著作权、商标权等知识产权、肖像权等民事权利相关的侵权行为。如果有任何因招标人使用投标人提供的货物/服务而提起的侵权指控，投标人须依法承担全部责任。</w:t>
      </w:r>
    </w:p>
    <w:p w14:paraId="54DD96FC">
      <w:pPr>
        <w:pageBreakBefore w:val="0"/>
        <w:numPr>
          <w:ilvl w:val="0"/>
          <w:numId w:val="6"/>
        </w:numPr>
        <w:kinsoku/>
        <w:wordWrap w:val="0"/>
        <w:bidi w:val="0"/>
        <w:spacing w:line="240" w:lineRule="auto"/>
        <w:ind w:left="-53" w:leftChars="-25"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存在关联关系的投标人</w:t>
      </w:r>
      <w:r>
        <w:rPr>
          <w:rFonts w:hint="eastAsia" w:ascii="仿宋" w:hAnsi="仿宋" w:eastAsia="仿宋" w:cs="Arial"/>
          <w:sz w:val="24"/>
          <w:szCs w:val="21"/>
          <w:highlight w:val="none"/>
        </w:rPr>
        <w:t>不得同时参加本项目的同一标段/分包，如项目不存在分包/划分标段，则不得同时参加本项目。</w:t>
      </w:r>
    </w:p>
    <w:p w14:paraId="4A49C8E0">
      <w:pPr>
        <w:pageBreakBefore w:val="0"/>
        <w:numPr>
          <w:ilvl w:val="255"/>
          <w:numId w:val="0"/>
        </w:numPr>
        <w:kinsoku/>
        <w:wordWrap w:val="0"/>
        <w:bidi w:val="0"/>
        <w:spacing w:line="240" w:lineRule="auto"/>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关联关系投标人包含以下情况：</w:t>
      </w:r>
    </w:p>
    <w:p w14:paraId="1EF11A96">
      <w:pPr>
        <w:pageBreakBefore w:val="0"/>
        <w:widowControl w:val="0"/>
        <w:numPr>
          <w:ilvl w:val="0"/>
          <w:numId w:val="7"/>
        </w:numPr>
        <w:kinsoku/>
        <w:wordWrap w:val="0"/>
        <w:bidi w:val="0"/>
        <w:spacing w:line="240" w:lineRule="auto"/>
        <w:ind w:left="845"/>
        <w:jc w:val="left"/>
        <w:rPr>
          <w:rFonts w:ascii="仿宋_GB2312" w:hAnsi="宋体" w:eastAsia="仿宋" w:cs="Times New Roman"/>
          <w:kern w:val="2"/>
          <w:sz w:val="24"/>
          <w:szCs w:val="21"/>
          <w:highlight w:val="none"/>
          <w:lang w:val="en-US" w:eastAsia="zh-CN" w:bidi="ar-SA"/>
        </w:rPr>
      </w:pPr>
      <w:bookmarkStart w:id="31" w:name="_Toc150933571"/>
      <w:r>
        <w:rPr>
          <w:rFonts w:hint="eastAsia" w:ascii="仿宋_GB2312" w:hAnsi="宋体" w:eastAsia="仿宋" w:cs="Times New Roman"/>
          <w:kern w:val="2"/>
          <w:sz w:val="24"/>
          <w:szCs w:val="21"/>
          <w:highlight w:val="none"/>
          <w:lang w:val="en-US" w:eastAsia="zh-CN" w:bidi="ar-SA"/>
        </w:rPr>
        <w:t>与本投标人单位法定代表人/负责人为同一人的其他投标人；</w:t>
      </w:r>
      <w:bookmarkEnd w:id="31"/>
      <w:bookmarkStart w:id="32" w:name="_Toc149230388"/>
    </w:p>
    <w:p w14:paraId="28BAD874">
      <w:pPr>
        <w:pageBreakBefore w:val="0"/>
        <w:widowControl w:val="0"/>
        <w:numPr>
          <w:ilvl w:val="0"/>
          <w:numId w:val="7"/>
        </w:numPr>
        <w:kinsoku/>
        <w:wordWrap w:val="0"/>
        <w:bidi w:val="0"/>
        <w:spacing w:line="240" w:lineRule="auto"/>
        <w:ind w:left="845"/>
        <w:jc w:val="left"/>
        <w:rPr>
          <w:rFonts w:ascii="仿宋_GB2312" w:hAnsi="宋体" w:eastAsia="仿宋" w:cs="Times New Roman"/>
          <w:kern w:val="2"/>
          <w:sz w:val="24"/>
          <w:szCs w:val="21"/>
          <w:highlight w:val="none"/>
          <w:lang w:val="en-US" w:eastAsia="zh-CN" w:bidi="ar-SA"/>
        </w:rPr>
      </w:pPr>
      <w:bookmarkStart w:id="33" w:name="_Toc150933572"/>
      <w:r>
        <w:rPr>
          <w:rFonts w:hint="eastAsia" w:ascii="仿宋_GB2312" w:hAnsi="宋体" w:eastAsia="仿宋" w:cs="Times New Roman"/>
          <w:kern w:val="2"/>
          <w:sz w:val="24"/>
          <w:szCs w:val="21"/>
          <w:highlight w:val="none"/>
          <w:lang w:val="en-US" w:eastAsia="zh-CN" w:bidi="ar-SA"/>
        </w:rPr>
        <w:t>与本投标人存在直接控股、管理关系的其他投标人。</w:t>
      </w:r>
      <w:bookmarkEnd w:id="32"/>
      <w:bookmarkEnd w:id="33"/>
    </w:p>
    <w:p w14:paraId="52C25FC8">
      <w:pPr>
        <w:pageBreakBefore w:val="0"/>
        <w:kinsoku/>
        <w:wordWrap w:val="0"/>
        <w:bidi w:val="0"/>
        <w:spacing w:line="240" w:lineRule="auto"/>
        <w:ind w:firstLine="480" w:firstLineChars="200"/>
        <w:rPr>
          <w:rFonts w:ascii="仿宋" w:hAnsi="仿宋" w:eastAsia="仿宋"/>
          <w:sz w:val="24"/>
          <w:szCs w:val="21"/>
          <w:highlight w:val="none"/>
        </w:rPr>
      </w:pPr>
      <w:r>
        <w:rPr>
          <w:rFonts w:hint="eastAsia" w:ascii="仿宋" w:hAnsi="仿宋" w:eastAsia="仿宋" w:cs="仿宋"/>
          <w:sz w:val="24"/>
          <w:szCs w:val="24"/>
          <w:highlight w:val="none"/>
        </w:rPr>
        <w:t>投标人应向招标人如实披露与本投标人存在关联关系的其他投标人。招标人有权取消关联关系投标人参与本项目的资格或重新组织招标。</w:t>
      </w:r>
    </w:p>
    <w:p w14:paraId="021E2F24">
      <w:pPr>
        <w:pageBreakBefore w:val="0"/>
        <w:numPr>
          <w:ilvl w:val="0"/>
          <w:numId w:val="6"/>
        </w:numPr>
        <w:kinsoku/>
        <w:wordWrap w:val="0"/>
        <w:bidi w:val="0"/>
        <w:spacing w:line="240" w:lineRule="auto"/>
        <w:ind w:left="-53" w:leftChars="-25" w:firstLine="480" w:firstLineChars="200"/>
        <w:rPr>
          <w:rFonts w:ascii="仿宋" w:hAnsi="仿宋" w:eastAsia="仿宋" w:cs="仿宋"/>
          <w:sz w:val="24"/>
          <w:szCs w:val="24"/>
          <w:highlight w:val="none"/>
        </w:rPr>
      </w:pPr>
      <w:r>
        <w:rPr>
          <w:rFonts w:hint="eastAsia" w:ascii="仿宋" w:hAnsi="仿宋" w:eastAsia="仿宋" w:cs="仿宋"/>
          <w:sz w:val="24"/>
          <w:szCs w:val="21"/>
          <w:highlight w:val="none"/>
        </w:rPr>
        <w:t>投标人应当严格遵守有关法律法规和行业标准规范，依法诚信参加投标，自觉维护公平竞争秩序。不得通过受让、租借或者挂靠资质投标；不得伪造、变造资质、资格证书或者其他许可证件，提供虚假业绩、奖项、项目负责人等材料，或者以其他方式弄虚作假投标；不得与招标人、招标代理机构或其他投标人串通投标；不得与评标委员会成员私下接触，或向招标人、招标代理机构、交易平台运行服务机构、评标委员会成员、行政监督部门人员等行贿谋取中标；不得恶意提出异议、投诉或者举报，干扰正常招标投标活动。</w:t>
      </w:r>
      <w:r>
        <w:rPr>
          <w:rFonts w:hint="eastAsia" w:ascii="仿宋" w:hAnsi="仿宋" w:eastAsia="仿宋" w:cs="仿宋"/>
          <w:sz w:val="24"/>
          <w:szCs w:val="24"/>
          <w:highlight w:val="none"/>
        </w:rPr>
        <w:t>投标人如出现上述行为之一的，其投标将被拒绝，招标人有权将其列入中国银行供应商不良行为名单。</w:t>
      </w:r>
    </w:p>
    <w:p w14:paraId="2D9D1393">
      <w:pPr>
        <w:pageBreakBefore w:val="0"/>
        <w:numPr>
          <w:ilvl w:val="0"/>
          <w:numId w:val="6"/>
        </w:numPr>
        <w:kinsoku/>
        <w:wordWrap w:val="0"/>
        <w:bidi w:val="0"/>
        <w:spacing w:line="240" w:lineRule="auto"/>
        <w:ind w:left="-53" w:leftChars="-25" w:firstLine="480" w:firstLineChars="200"/>
        <w:rPr>
          <w:rFonts w:eastAsia="仿宋"/>
          <w:sz w:val="24"/>
          <w:szCs w:val="21"/>
          <w:highlight w:val="none"/>
        </w:rPr>
      </w:pPr>
      <w:r>
        <w:rPr>
          <w:rFonts w:hint="eastAsia" w:ascii="仿宋" w:hAnsi="仿宋" w:eastAsia="仿宋" w:cs="仿宋"/>
          <w:sz w:val="24"/>
          <w:szCs w:val="24"/>
          <w:highlight w:val="none"/>
        </w:rPr>
        <w:t>投标人应未受到联合国、中国或其他招标人认为需适用的制裁发布主体的制裁，也未被前述制裁对象拥有或实际控制。</w:t>
      </w:r>
    </w:p>
    <w:p w14:paraId="208E40CD">
      <w:pPr>
        <w:pageBreakBefore w:val="0"/>
        <w:numPr>
          <w:ilvl w:val="0"/>
          <w:numId w:val="6"/>
        </w:numPr>
        <w:kinsoku/>
        <w:wordWrap w:val="0"/>
        <w:bidi w:val="0"/>
        <w:spacing w:line="240" w:lineRule="auto"/>
        <w:ind w:left="-53" w:leftChars="-25"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投标人发生合并、分立、破产等重大变化的，应当及时书面告知招标人。投标人不再具备资格预审文件、招标文件规定的资格条件或者其投标影响招标公正性的，其投标无效。</w:t>
      </w:r>
    </w:p>
    <w:p w14:paraId="1334E133">
      <w:pPr>
        <w:pageBreakBefore w:val="0"/>
        <w:numPr>
          <w:ilvl w:val="0"/>
          <w:numId w:val="6"/>
        </w:numPr>
        <w:kinsoku/>
        <w:wordWrap w:val="0"/>
        <w:bidi w:val="0"/>
        <w:spacing w:line="240" w:lineRule="auto"/>
        <w:ind w:left="-53" w:leftChars="-25" w:firstLine="480" w:firstLineChars="200"/>
        <w:rPr>
          <w:rFonts w:eastAsia="仿宋"/>
          <w:sz w:val="24"/>
          <w:szCs w:val="21"/>
          <w:highlight w:val="none"/>
        </w:rPr>
      </w:pPr>
      <w:r>
        <w:rPr>
          <w:rFonts w:hint="eastAsia" w:eastAsia="仿宋"/>
          <w:sz w:val="24"/>
          <w:szCs w:val="21"/>
          <w:highlight w:val="none"/>
        </w:rPr>
        <w:t>投标人应严格遵守国家有关信息安全的法律法规，落</w:t>
      </w:r>
      <w:r>
        <w:rPr>
          <w:rFonts w:eastAsia="仿宋"/>
          <w:sz w:val="24"/>
          <w:szCs w:val="21"/>
          <w:highlight w:val="none"/>
        </w:rPr>
        <w:t>实监管部门对信息安全的监管要求</w:t>
      </w:r>
      <w:r>
        <w:rPr>
          <w:rFonts w:hint="eastAsia" w:eastAsia="仿宋"/>
          <w:sz w:val="24"/>
          <w:szCs w:val="21"/>
          <w:highlight w:val="none"/>
        </w:rPr>
        <w:t>，履行信息安全保密责任和义务，依法依规规范信息数据处理活动。投标人在信息安全管理方面不存在重大风险缺陷和信息安全违规记录</w:t>
      </w:r>
      <w:r>
        <w:rPr>
          <w:rFonts w:hint="eastAsia" w:eastAsia="仿宋"/>
          <w:sz w:val="24"/>
          <w:szCs w:val="21"/>
          <w:highlight w:val="none"/>
          <w:lang w:eastAsia="zh-CN"/>
        </w:rPr>
        <w:t>。</w:t>
      </w:r>
      <w:r>
        <w:rPr>
          <w:rFonts w:hint="eastAsia" w:eastAsia="仿宋"/>
          <w:sz w:val="24"/>
          <w:szCs w:val="21"/>
          <w:highlight w:val="none"/>
        </w:rPr>
        <w:t>【适用于会计师事务所、律师事务所、评级机构、咨询机构等中介机构选聘项目，不是此类采购此条可删除】</w:t>
      </w:r>
    </w:p>
    <w:p w14:paraId="3ECBEB83">
      <w:pPr>
        <w:pageBreakBefore w:val="0"/>
        <w:widowControl w:val="0"/>
        <w:numPr>
          <w:ilvl w:val="0"/>
          <w:numId w:val="6"/>
        </w:numPr>
        <w:kinsoku/>
        <w:wordWrap w:val="0"/>
        <w:bidi w:val="0"/>
        <w:spacing w:line="240" w:lineRule="auto"/>
        <w:ind w:left="-53" w:leftChars="-25" w:firstLine="480" w:firstLineChars="200"/>
        <w:jc w:val="both"/>
        <w:rPr>
          <w:rFonts w:ascii="Times New Roman" w:hAnsi="Times New Roman" w:eastAsia="仿宋" w:cs="Times New Roman"/>
          <w:kern w:val="2"/>
          <w:sz w:val="24"/>
          <w:szCs w:val="21"/>
          <w:highlight w:val="none"/>
          <w:lang w:val="en-US" w:eastAsia="zh-CN" w:bidi="ar-SA"/>
        </w:rPr>
      </w:pPr>
      <w:r>
        <w:rPr>
          <w:rFonts w:hint="eastAsia" w:ascii="仿宋" w:hAnsi="仿宋" w:eastAsia="仿宋" w:cs="仿宋"/>
          <w:kern w:val="2"/>
          <w:sz w:val="24"/>
          <w:szCs w:val="24"/>
          <w:highlight w:val="none"/>
          <w:lang w:val="en-US" w:eastAsia="zh-CN" w:bidi="ar-SA"/>
        </w:rPr>
        <w:t>投标人若接触招标人数据、招标人客户数据（如有），应严格遵守《银行保险机构数据安全管理办法》等数据安全相关法律法规、监管要求，并配合招标人根据数据处理的具体模式，在“第四部分 合同主要条款及格式”中明确数据处理的相关约定。</w:t>
      </w:r>
    </w:p>
    <w:bookmarkEnd w:id="19"/>
    <w:bookmarkEnd w:id="20"/>
    <w:bookmarkEnd w:id="21"/>
    <w:bookmarkEnd w:id="22"/>
    <w:bookmarkEnd w:id="23"/>
    <w:p w14:paraId="1542DCD8">
      <w:pPr>
        <w:pageBreakBefore w:val="0"/>
        <w:numPr>
          <w:ilvl w:val="0"/>
          <w:numId w:val="1"/>
        </w:numPr>
        <w:kinsoku/>
        <w:wordWrap w:val="0"/>
        <w:bidi w:val="0"/>
        <w:spacing w:line="360" w:lineRule="auto"/>
        <w:ind w:left="0" w:firstLine="0"/>
        <w:outlineLvl w:val="1"/>
        <w:rPr>
          <w:rFonts w:ascii="仿宋" w:hAnsi="仿宋" w:eastAsia="仿宋" w:cs="仿宋"/>
          <w:b/>
          <w:bCs/>
          <w:sz w:val="24"/>
          <w:szCs w:val="21"/>
          <w:highlight w:val="none"/>
        </w:rPr>
      </w:pPr>
      <w:bookmarkStart w:id="34" w:name="_Toc8736"/>
      <w:bookmarkStart w:id="35" w:name="_Toc149230390"/>
      <w:bookmarkStart w:id="36" w:name="_Toc150933574"/>
      <w:bookmarkStart w:id="37" w:name="_Toc108796136"/>
      <w:r>
        <w:rPr>
          <w:rFonts w:hint="eastAsia" w:ascii="仿宋" w:hAnsi="仿宋" w:eastAsia="仿宋" w:cs="仿宋"/>
          <w:b/>
          <w:bCs/>
          <w:sz w:val="24"/>
          <w:szCs w:val="21"/>
          <w:highlight w:val="none"/>
        </w:rPr>
        <w:t>招标文件发售：</w:t>
      </w:r>
      <w:bookmarkEnd w:id="34"/>
    </w:p>
    <w:p w14:paraId="7DC6F7D0">
      <w:pPr>
        <w:pageBreakBefore w:val="0"/>
        <w:tabs>
          <w:tab w:val="left" w:pos="425"/>
        </w:tabs>
        <w:kinsoku/>
        <w:wordWrap w:val="0"/>
        <w:bidi w:val="0"/>
        <w:spacing w:line="24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rPr>
        <w:t>）本项目在采购代理机构电子招标</w:t>
      </w:r>
      <w:r>
        <w:rPr>
          <w:rFonts w:hint="eastAsia" w:ascii="仿宋" w:hAnsi="仿宋" w:eastAsia="仿宋" w:cs="仿宋"/>
          <w:sz w:val="24"/>
          <w:szCs w:val="24"/>
          <w:highlight w:val="none"/>
          <w:lang w:val="en-US" w:eastAsia="zh-CN"/>
        </w:rPr>
        <w:t>系统“</w:t>
      </w:r>
      <w:r>
        <w:rPr>
          <w:rFonts w:hint="eastAsia" w:ascii="仿宋" w:hAnsi="仿宋" w:eastAsia="仿宋" w:cs="仿宋"/>
          <w:sz w:val="24"/>
          <w:szCs w:val="24"/>
          <w:highlight w:val="none"/>
        </w:rPr>
        <w:t>链捷招</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（https</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//zb.chinaccsscm.cn/）发售和领取电子版招标文件，无纸质版招标文件。招标文件发售时间为20</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04</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29</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分至20</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05</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分止（北京时间，下同，节假日除外）。未购买招标文件的投标人不得参加投标。</w:t>
      </w:r>
    </w:p>
    <w:p w14:paraId="12BF3EB4">
      <w:pPr>
        <w:pageBreakBefore w:val="0"/>
        <w:tabs>
          <w:tab w:val="left" w:pos="425"/>
        </w:tabs>
        <w:kinsoku/>
        <w:wordWrap w:val="0"/>
        <w:bidi w:val="0"/>
        <w:spacing w:line="24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）发售领取招标文件操作流程：</w:t>
      </w:r>
    </w:p>
    <w:p w14:paraId="0FF1DC52">
      <w:pPr>
        <w:pageBreakBefore w:val="0"/>
        <w:kinsoku/>
        <w:wordWrap w:val="0"/>
        <w:bidi w:val="0"/>
        <w:spacing w:line="24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1"/>
          <w:highlight w:val="none"/>
        </w:rPr>
        <w:t>出售：</w:t>
      </w:r>
      <w:r>
        <w:rPr>
          <w:rFonts w:hint="eastAsia" w:ascii="仿宋" w:hAnsi="仿宋" w:eastAsia="仿宋" w:cs="仿宋"/>
          <w:sz w:val="24"/>
          <w:szCs w:val="24"/>
          <w:highlight w:val="none"/>
        </w:rPr>
        <w:t>福建省中通通信有限公司</w:t>
      </w:r>
      <w:r>
        <w:rPr>
          <w:rFonts w:hint="eastAsia" w:ascii="仿宋" w:hAnsi="仿宋" w:eastAsia="仿宋" w:cs="仿宋"/>
          <w:sz w:val="24"/>
          <w:szCs w:val="21"/>
          <w:highlight w:val="none"/>
        </w:rPr>
        <w:t>。</w:t>
      </w:r>
      <w:r>
        <w:rPr>
          <w:rFonts w:hint="eastAsia" w:ascii="仿宋" w:hAnsi="仿宋" w:eastAsia="仿宋" w:cs="仿宋"/>
          <w:b/>
          <w:bCs/>
          <w:sz w:val="24"/>
          <w:szCs w:val="24"/>
          <w:highlight w:val="none"/>
        </w:rPr>
        <w:t>登录采购代理机构电子招标</w:t>
      </w:r>
      <w:r>
        <w:rPr>
          <w:rFonts w:hint="eastAsia" w:ascii="仿宋" w:hAnsi="仿宋" w:eastAsia="仿宋" w:cs="仿宋"/>
          <w:b/>
          <w:bCs/>
          <w:sz w:val="24"/>
          <w:szCs w:val="24"/>
          <w:highlight w:val="none"/>
          <w:lang w:val="en-US" w:eastAsia="zh-CN"/>
        </w:rPr>
        <w:t>系统“</w:t>
      </w:r>
      <w:r>
        <w:rPr>
          <w:rFonts w:hint="eastAsia" w:ascii="仿宋" w:hAnsi="仿宋" w:eastAsia="仿宋" w:cs="仿宋"/>
          <w:b/>
          <w:bCs/>
          <w:sz w:val="24"/>
          <w:szCs w:val="24"/>
          <w:highlight w:val="none"/>
        </w:rPr>
        <w:t>链捷招</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（https</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//zb.chinaccsscm.cn/）完成免费注册,根据提示</w:t>
      </w:r>
      <w:r>
        <w:rPr>
          <w:rFonts w:hint="eastAsia" w:ascii="仿宋" w:hAnsi="仿宋" w:eastAsia="仿宋" w:cs="仿宋"/>
          <w:b/>
          <w:bCs/>
          <w:sz w:val="24"/>
          <w:szCs w:val="24"/>
          <w:highlight w:val="none"/>
          <w:lang w:val="en-US" w:eastAsia="zh-CN"/>
        </w:rPr>
        <w:t>在系统</w:t>
      </w:r>
      <w:r>
        <w:rPr>
          <w:rFonts w:hint="eastAsia" w:ascii="仿宋" w:hAnsi="仿宋" w:eastAsia="仿宋" w:cs="仿宋"/>
          <w:b/>
          <w:bCs/>
          <w:sz w:val="24"/>
          <w:szCs w:val="24"/>
          <w:highlight w:val="none"/>
        </w:rPr>
        <w:t>完成费用支付</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链捷招</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注册审核联系商务专员，电话：18060753032）。</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注：按系统流程进行登记缴费，请勿直接转账。</w:t>
      </w:r>
      <w:r>
        <w:rPr>
          <w:rFonts w:hint="eastAsia" w:ascii="仿宋" w:hAnsi="仿宋" w:eastAsia="仿宋" w:cs="仿宋"/>
          <w:b/>
          <w:bCs/>
          <w:sz w:val="24"/>
          <w:szCs w:val="24"/>
          <w:highlight w:val="none"/>
          <w:lang w:eastAsia="zh-CN"/>
        </w:rPr>
        <w:t>】</w:t>
      </w:r>
    </w:p>
    <w:p w14:paraId="462FB05B">
      <w:pPr>
        <w:pageBreakBefore w:val="0"/>
        <w:numPr>
          <w:ilvl w:val="255"/>
          <w:numId w:val="0"/>
        </w:numPr>
        <w:kinsoku/>
        <w:wordWrap w:val="0"/>
        <w:bidi w:val="0"/>
        <w:spacing w:line="24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2．售价：</w:t>
      </w:r>
      <w:r>
        <w:rPr>
          <w:rFonts w:hint="eastAsia" w:ascii="仿宋" w:hAnsi="仿宋" w:eastAsia="仿宋" w:cs="仿宋"/>
          <w:sz w:val="24"/>
          <w:szCs w:val="24"/>
          <w:highlight w:val="none"/>
          <w:lang w:val="en-US" w:eastAsia="zh-CN"/>
        </w:rPr>
        <w:t>300</w:t>
      </w:r>
      <w:r>
        <w:rPr>
          <w:rFonts w:hint="eastAsia" w:ascii="仿宋" w:hAnsi="仿宋" w:eastAsia="仿宋" w:cs="仿宋"/>
          <w:sz w:val="24"/>
          <w:szCs w:val="24"/>
          <w:highlight w:val="none"/>
        </w:rPr>
        <w:t>元人民币（招标文件售后不退）。</w:t>
      </w:r>
    </w:p>
    <w:p w14:paraId="0A3B258A">
      <w:pPr>
        <w:pageBreakBefore w:val="0"/>
        <w:numPr>
          <w:ilvl w:val="255"/>
          <w:numId w:val="0"/>
        </w:numPr>
        <w:kinsoku/>
        <w:wordWrap w:val="0"/>
        <w:bidi w:val="0"/>
        <w:spacing w:line="240" w:lineRule="auto"/>
        <w:ind w:firstLine="480" w:firstLineChars="200"/>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．领取招标文件：投标人在</w:t>
      </w:r>
      <w:r>
        <w:rPr>
          <w:rFonts w:hint="eastAsia" w:ascii="仿宋" w:hAnsi="仿宋" w:eastAsia="仿宋" w:cs="仿宋"/>
          <w:sz w:val="24"/>
          <w:szCs w:val="24"/>
          <w:highlight w:val="none"/>
          <w:lang w:val="en-US" w:eastAsia="zh-CN"/>
        </w:rPr>
        <w:t>通过“</w:t>
      </w:r>
      <w:r>
        <w:rPr>
          <w:rFonts w:hint="eastAsia" w:ascii="仿宋" w:hAnsi="仿宋" w:eastAsia="仿宋" w:cs="仿宋"/>
          <w:b/>
          <w:bCs/>
          <w:sz w:val="24"/>
          <w:szCs w:val="24"/>
          <w:highlight w:val="none"/>
          <w:lang w:val="en-US" w:eastAsia="zh-CN"/>
        </w:rPr>
        <w:t>链捷招</w:t>
      </w:r>
      <w:r>
        <w:rPr>
          <w:rFonts w:hint="eastAsia" w:ascii="仿宋" w:hAnsi="仿宋" w:eastAsia="仿宋" w:cs="仿宋"/>
          <w:sz w:val="24"/>
          <w:szCs w:val="24"/>
          <w:highlight w:val="none"/>
          <w:lang w:val="en-US" w:eastAsia="zh-CN"/>
        </w:rPr>
        <w:t>”系统</w:t>
      </w:r>
      <w:r>
        <w:rPr>
          <w:rFonts w:hint="eastAsia" w:ascii="仿宋" w:hAnsi="仿宋" w:eastAsia="仿宋" w:cs="仿宋"/>
          <w:sz w:val="24"/>
          <w:szCs w:val="24"/>
          <w:highlight w:val="none"/>
        </w:rPr>
        <w:t>向招标代理机构支付招标文件费用后，方可</w:t>
      </w:r>
      <w:r>
        <w:rPr>
          <w:rFonts w:hint="eastAsia" w:ascii="仿宋" w:hAnsi="仿宋" w:eastAsia="仿宋" w:cs="仿宋"/>
          <w:sz w:val="24"/>
          <w:szCs w:val="24"/>
          <w:highlight w:val="none"/>
          <w:lang w:val="en-US" w:eastAsia="zh-CN"/>
        </w:rPr>
        <w:t>在“标书购买列表”</w:t>
      </w:r>
      <w:r>
        <w:rPr>
          <w:rFonts w:hint="eastAsia" w:ascii="仿宋" w:hAnsi="仿宋" w:eastAsia="仿宋" w:cs="仿宋"/>
          <w:sz w:val="24"/>
          <w:szCs w:val="24"/>
          <w:highlight w:val="none"/>
        </w:rPr>
        <w:t>下载招标文件</w:t>
      </w:r>
      <w:r>
        <w:rPr>
          <w:rFonts w:hint="eastAsia" w:ascii="仿宋" w:hAnsi="仿宋" w:eastAsia="仿宋" w:cs="仿宋"/>
          <w:sz w:val="24"/>
          <w:szCs w:val="24"/>
          <w:highlight w:val="none"/>
          <w:lang w:val="en-US" w:eastAsia="zh-CN"/>
        </w:rPr>
        <w:t>。</w:t>
      </w:r>
    </w:p>
    <w:p w14:paraId="6AABC038">
      <w:pPr>
        <w:pageBreakBefore w:val="0"/>
        <w:tabs>
          <w:tab w:val="left" w:pos="425"/>
        </w:tabs>
        <w:kinsoku/>
        <w:wordWrap w:val="0"/>
        <w:bidi w:val="0"/>
        <w:spacing w:line="240" w:lineRule="auto"/>
        <w:ind w:firstLine="480" w:firstLineChars="200"/>
        <w:rPr>
          <w:rFonts w:hint="default" w:ascii="仿宋" w:hAnsi="仿宋" w:eastAsia="仿宋" w:cs="仿宋"/>
          <w:sz w:val="24"/>
          <w:szCs w:val="24"/>
          <w:highlight w:val="none"/>
          <w:lang w:val="en-US" w:eastAsia="zh-CN"/>
        </w:rPr>
      </w:pPr>
      <w:r>
        <w:rPr>
          <w:rFonts w:ascii="仿宋" w:hAnsi="仿宋" w:eastAsia="仿宋" w:cs="仿宋"/>
          <w:sz w:val="24"/>
          <w:szCs w:val="24"/>
          <w:highlight w:val="none"/>
        </w:rPr>
        <w:t>（</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）招标人对资格预审文件、招标文件进行澄清或者修改的，将通过采购代理机构电子招投标平台公告澄清或者修改的内容。</w:t>
      </w:r>
      <w:r>
        <w:rPr>
          <w:rFonts w:hint="eastAsia" w:ascii="仿宋" w:hAnsi="仿宋" w:eastAsia="仿宋" w:cs="仿宋"/>
          <w:sz w:val="24"/>
          <w:szCs w:val="24"/>
          <w:highlight w:val="none"/>
          <w:lang w:val="en-US" w:eastAsia="zh-CN"/>
        </w:rPr>
        <w:t>请供应商及时关注。</w:t>
      </w:r>
    </w:p>
    <w:p w14:paraId="55434C61">
      <w:pPr>
        <w:pageBreakBefore w:val="0"/>
        <w:tabs>
          <w:tab w:val="left" w:pos="425"/>
        </w:tabs>
        <w:kinsoku/>
        <w:wordWrap w:val="0"/>
        <w:bidi w:val="0"/>
        <w:spacing w:line="24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w:t>
      </w: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rPr>
        <w:t>）投标人针对技术问题的咨询，可</w:t>
      </w:r>
      <w:r>
        <w:rPr>
          <w:rFonts w:hint="eastAsia" w:ascii="仿宋" w:hAnsi="仿宋" w:eastAsia="仿宋" w:cs="仿宋"/>
          <w:sz w:val="24"/>
          <w:szCs w:val="24"/>
          <w:highlight w:val="none"/>
          <w:lang w:val="en-US" w:eastAsia="zh-CN"/>
        </w:rPr>
        <w:t>拨打商务专员联系</w:t>
      </w:r>
      <w:r>
        <w:rPr>
          <w:rFonts w:hint="eastAsia" w:ascii="仿宋" w:hAnsi="仿宋" w:eastAsia="仿宋" w:cs="仿宋"/>
          <w:sz w:val="24"/>
          <w:szCs w:val="24"/>
          <w:highlight w:val="none"/>
        </w:rPr>
        <w:t>电话：18060753032，工作时间（工作日）：</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0-11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30、1</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30-17</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30，其他时间及法定节假日不提供技术支持。</w:t>
      </w:r>
      <w:r>
        <w:rPr>
          <w:rFonts w:hint="eastAsia" w:ascii="仿宋" w:hAnsi="仿宋" w:eastAsia="仿宋" w:cs="仿宋"/>
          <w:sz w:val="24"/>
          <w:szCs w:val="24"/>
          <w:highlight w:val="none"/>
          <w:lang w:val="en-US" w:eastAsia="zh-CN"/>
        </w:rPr>
        <w:t>更多平台操作</w:t>
      </w:r>
      <w:r>
        <w:rPr>
          <w:rFonts w:hint="eastAsia" w:ascii="仿宋" w:hAnsi="仿宋" w:eastAsia="仿宋" w:cs="仿宋"/>
          <w:sz w:val="24"/>
          <w:szCs w:val="24"/>
          <w:highlight w:val="none"/>
        </w:rPr>
        <w:t>详见</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链捷招</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w:t>
      </w:r>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lang w:val="en-US" w:eastAsia="zh-CN"/>
        </w:rPr>
        <w:t>下载</w:t>
      </w:r>
      <w:r>
        <w:rPr>
          <w:rFonts w:hint="eastAsia" w:ascii="仿宋" w:hAnsi="仿宋" w:eastAsia="仿宋" w:cs="仿宋"/>
          <w:sz w:val="24"/>
          <w:szCs w:val="24"/>
          <w:highlight w:val="none"/>
          <w:lang w:val="en-US" w:eastAsia="zh-CN"/>
        </w:rPr>
        <w:t>中心</w:t>
      </w:r>
      <w:r>
        <w:rPr>
          <w:rFonts w:hint="eastAsia" w:ascii="仿宋" w:hAnsi="仿宋" w:eastAsia="仿宋" w:cs="仿宋"/>
          <w:sz w:val="24"/>
          <w:szCs w:val="24"/>
          <w:highlight w:val="none"/>
        </w:rPr>
        <w:t>”中的</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供应链电子招投标平台操作手册（供应商）</w:t>
      </w:r>
      <w:r>
        <w:rPr>
          <w:rFonts w:hint="eastAsia" w:ascii="仿宋" w:hAnsi="仿宋" w:eastAsia="仿宋" w:cs="仿宋"/>
          <w:sz w:val="24"/>
          <w:szCs w:val="24"/>
          <w:highlight w:val="none"/>
          <w:lang w:eastAsia="zh-CN"/>
        </w:rPr>
        <w:t>》。</w:t>
      </w:r>
    </w:p>
    <w:p w14:paraId="5B5140C3">
      <w:pPr>
        <w:tabs>
          <w:tab w:val="left" w:pos="425"/>
        </w:tabs>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w:t>
      </w:r>
      <w:r>
        <w:rPr>
          <w:rFonts w:hint="eastAsia" w:ascii="仿宋" w:hAnsi="仿宋" w:eastAsia="仿宋" w:cs="仿宋"/>
          <w:sz w:val="24"/>
          <w:szCs w:val="24"/>
          <w:highlight w:val="none"/>
        </w:rPr>
        <w:t>五）投标人需在中银智采平台“基础管理</w:t>
      </w:r>
      <w:r>
        <w:rPr>
          <w:rFonts w:ascii="仿宋" w:hAnsi="仿宋" w:eastAsia="仿宋" w:cs="仿宋"/>
          <w:sz w:val="24"/>
          <w:szCs w:val="24"/>
          <w:highlight w:val="none"/>
        </w:rPr>
        <w:t>-软件下载”页面</w:t>
      </w:r>
      <w:r>
        <w:rPr>
          <w:rFonts w:hint="eastAsia" w:ascii="仿宋" w:hAnsi="仿宋" w:eastAsia="仿宋" w:cs="仿宋"/>
          <w:sz w:val="24"/>
          <w:szCs w:val="24"/>
          <w:highlight w:val="none"/>
        </w:rPr>
        <w:t>，及时下载中国银行投标客户端，用于申请CA证书、制作投标文件。目前投标客户端仅适用Windows10（64位）及以上系统</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此条款适用于电子标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6F27CC93">
      <w:pPr>
        <w:tabs>
          <w:tab w:val="left" w:pos="425"/>
        </w:tabs>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w:t>
      </w:r>
      <w:r>
        <w:rPr>
          <w:rFonts w:hint="eastAsia" w:ascii="仿宋" w:hAnsi="仿宋" w:eastAsia="仿宋" w:cs="仿宋"/>
          <w:sz w:val="24"/>
          <w:szCs w:val="24"/>
          <w:highlight w:val="none"/>
        </w:rPr>
        <w:t>六）投标人务必在投标文件递交截止时间1个工作日前申请CA证书，否则将不能使用CA证书进行后续操作，例如投标文件加密、解密和加盖</w:t>
      </w:r>
      <w:r>
        <w:rPr>
          <w:rFonts w:ascii="仿宋" w:hAnsi="仿宋" w:eastAsia="仿宋" w:cs="仿宋"/>
          <w:sz w:val="24"/>
          <w:szCs w:val="24"/>
          <w:highlight w:val="none"/>
        </w:rPr>
        <w:t>CA</w:t>
      </w:r>
      <w:r>
        <w:rPr>
          <w:rFonts w:hint="eastAsia" w:ascii="仿宋" w:hAnsi="仿宋" w:eastAsia="仿宋" w:cs="仿宋"/>
          <w:sz w:val="24"/>
          <w:szCs w:val="24"/>
          <w:highlight w:val="none"/>
        </w:rPr>
        <w:t>电子印章操作等</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此条款适用于电子标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015B6480">
      <w:pPr>
        <w:pageBreakBefore w:val="0"/>
        <w:tabs>
          <w:tab w:val="left" w:pos="425"/>
        </w:tabs>
        <w:kinsoku/>
        <w:wordWrap w:val="0"/>
        <w:bidi w:val="0"/>
        <w:spacing w:line="240" w:lineRule="auto"/>
        <w:ind w:firstLine="480" w:firstLineChars="200"/>
        <w:rPr>
          <w:rFonts w:hint="eastAsia" w:ascii="仿宋" w:hAnsi="仿宋" w:eastAsia="仿宋" w:cs="仿宋"/>
          <w:sz w:val="24"/>
          <w:szCs w:val="24"/>
          <w:highlight w:val="none"/>
        </w:rPr>
      </w:pPr>
      <w:r>
        <w:rPr>
          <w:rFonts w:ascii="仿宋" w:hAnsi="仿宋" w:eastAsia="仿宋" w:cs="仿宋"/>
          <w:sz w:val="24"/>
          <w:szCs w:val="24"/>
          <w:highlight w:val="none"/>
        </w:rPr>
        <w:t>（</w:t>
      </w:r>
      <w:r>
        <w:rPr>
          <w:rFonts w:hint="eastAsia" w:ascii="仿宋" w:hAnsi="仿宋" w:eastAsia="仿宋" w:cs="仿宋"/>
          <w:sz w:val="24"/>
          <w:szCs w:val="24"/>
          <w:highlight w:val="none"/>
        </w:rPr>
        <w:t>七）投标人针对技术问题的咨询，可拨打中银智采平台技术支持联系电话：010-66593459/010-66595932/010-66593484，工作时间（工作日）：8:30-11:30、13:30-17:30，其他时间及法定节假日不提供技术支持。</w:t>
      </w:r>
    </w:p>
    <w:p w14:paraId="7EF602CF">
      <w:pPr>
        <w:tabs>
          <w:tab w:val="left" w:pos="420"/>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highlight w:val="none"/>
          <w:lang w:val="en-US" w:eastAsia="zh-CN"/>
        </w:rPr>
        <w:t>（八）</w:t>
      </w:r>
      <w:r>
        <w:rPr>
          <w:rFonts w:hint="eastAsia" w:ascii="仿宋" w:hAnsi="仿宋" w:eastAsia="仿宋" w:cs="仿宋"/>
          <w:sz w:val="24"/>
          <w:szCs w:val="24"/>
        </w:rPr>
        <w:t>凡有意向参加本项目的供应商应前往中国银行中银智采平台（https://ctpch.fmscop.bankofchina.com）（以下简称“中银智采平台”）进行免费注册。并关注以下事项：</w:t>
      </w:r>
    </w:p>
    <w:p w14:paraId="5522CA58">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请有意愿参与采购工作的供应商尽早在“中银智采”完成注册工作，并在采购邀请文件领取截止日1个工作日前完成注册。注册方式详见中国银行中银智采平台（https://ctpch.fmscop.bankofchina.com）“最新动态”中的“供应商注册登录操作手册”。</w:t>
      </w:r>
    </w:p>
    <w:p w14:paraId="337E68C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在“中银智采”系统中提交材料不能代表注册成功，中国银行将对供应商提交材料进行注册审核，审核通过后供应商才注册成功。请供应商于提交材料当日晚些时间或第2日进行注册审核情况查询，实时关注注册审核结果，以免影响使用。未注册成功的供应商无法参与中国银行采购项目。</w:t>
      </w:r>
    </w:p>
    <w:p w14:paraId="1A65205D">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如供应商在领取采购邀请文件截止当日（工作日）注册，请联系采购项目联系人，申请加急审核，并关注注册材料审核结果。因供应商提交材料质量等原因，无法保证供应商注册审核通过，所造成的影响由供应商自行承担。</w:t>
      </w:r>
    </w:p>
    <w:p w14:paraId="50064BB5">
      <w:pPr>
        <w:numPr>
          <w:ilvl w:val="255"/>
          <w:numId w:val="0"/>
        </w:num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注册成功的供应商请登录注册账号后并于中银智采平台的“工作台-操作手册”处下载“供应商投标业务操作手册”或下载中国银行中银智采平台（https://ctpch.fmscop.bankofchina.com）“最新动态”中的“供应商投标业务操作手册”中的附件。</w:t>
      </w:r>
    </w:p>
    <w:p w14:paraId="474ABB6D">
      <w:pPr>
        <w:pageBreakBefore w:val="0"/>
        <w:numPr>
          <w:ilvl w:val="0"/>
          <w:numId w:val="1"/>
        </w:numPr>
        <w:kinsoku/>
        <w:wordWrap w:val="0"/>
        <w:bidi w:val="0"/>
        <w:spacing w:line="360" w:lineRule="auto"/>
        <w:ind w:left="0" w:firstLine="0"/>
        <w:outlineLvl w:val="1"/>
        <w:rPr>
          <w:rFonts w:ascii="仿宋" w:hAnsi="仿宋" w:eastAsia="仿宋" w:cs="仿宋"/>
          <w:b/>
          <w:bCs/>
          <w:sz w:val="24"/>
          <w:szCs w:val="21"/>
          <w:highlight w:val="none"/>
        </w:rPr>
      </w:pPr>
      <w:bookmarkStart w:id="38" w:name="_Toc347771173"/>
      <w:bookmarkStart w:id="39" w:name="_Toc347770463"/>
      <w:bookmarkStart w:id="40" w:name="_Toc325969419"/>
      <w:bookmarkStart w:id="41" w:name="_Toc325969681"/>
      <w:bookmarkStart w:id="42" w:name="_Toc383529024"/>
      <w:bookmarkStart w:id="43" w:name="_Toc325969567"/>
      <w:bookmarkStart w:id="44" w:name="_Toc149224048"/>
      <w:bookmarkStart w:id="45" w:name="_Toc148111101"/>
      <w:bookmarkStart w:id="46" w:name="_Toc8699"/>
      <w:bookmarkStart w:id="47" w:name="_Toc148110995"/>
      <w:r>
        <w:rPr>
          <w:rFonts w:hint="eastAsia" w:ascii="仿宋" w:hAnsi="仿宋" w:eastAsia="仿宋" w:cs="仿宋"/>
          <w:b/>
          <w:bCs/>
          <w:sz w:val="24"/>
          <w:szCs w:val="21"/>
          <w:highlight w:val="none"/>
        </w:rPr>
        <w:t>发布公告的媒介</w:t>
      </w:r>
      <w:bookmarkEnd w:id="38"/>
      <w:bookmarkEnd w:id="39"/>
      <w:bookmarkEnd w:id="40"/>
      <w:bookmarkEnd w:id="41"/>
      <w:bookmarkEnd w:id="42"/>
      <w:bookmarkEnd w:id="43"/>
      <w:r>
        <w:rPr>
          <w:rFonts w:ascii="仿宋" w:hAnsi="仿宋" w:eastAsia="仿宋" w:cs="仿宋"/>
          <w:b/>
          <w:bCs/>
          <w:sz w:val="24"/>
          <w:szCs w:val="21"/>
          <w:highlight w:val="none"/>
        </w:rPr>
        <w:t>：</w:t>
      </w:r>
      <w:bookmarkEnd w:id="44"/>
      <w:bookmarkEnd w:id="45"/>
      <w:bookmarkEnd w:id="46"/>
      <w:bookmarkEnd w:id="47"/>
    </w:p>
    <w:p w14:paraId="0D897D37">
      <w:pPr>
        <w:pageBreakBefore w:val="0"/>
        <w:kinsoku/>
        <w:wordWrap w:val="0"/>
        <w:bidi w:val="0"/>
        <w:spacing w:line="240" w:lineRule="auto"/>
        <w:ind w:firstLine="480" w:firstLineChars="200"/>
        <w:rPr>
          <w:rFonts w:hint="eastAsia" w:ascii="仿宋" w:hAnsi="仿宋" w:eastAsia="仿宋" w:cs="Times New Roman"/>
          <w:i/>
          <w:sz w:val="24"/>
          <w:szCs w:val="21"/>
          <w:highlight w:val="none"/>
          <w:lang w:val="en-US" w:eastAsia="zh-CN"/>
        </w:rPr>
      </w:pPr>
      <w:r>
        <w:rPr>
          <w:rFonts w:hint="eastAsia" w:ascii="仿宋" w:hAnsi="仿宋" w:eastAsia="仿宋" w:cs="仿宋"/>
          <w:sz w:val="24"/>
          <w:szCs w:val="24"/>
          <w:highlight w:val="none"/>
          <w:lang w:val="en-US" w:eastAsia="zh-CN"/>
        </w:rPr>
        <w:t>本招标公告同时在中国招标投标公共服务平台（http://www.cebpubservice.com/）、链捷招（ https://zb.chinaccsscm.cn/）</w:t>
      </w:r>
      <w:r>
        <w:rPr>
          <w:rFonts w:ascii="仿宋" w:hAnsi="仿宋" w:eastAsia="仿宋"/>
          <w:sz w:val="24"/>
          <w:szCs w:val="21"/>
          <w:highlight w:val="none"/>
        </w:rPr>
        <w:t>上进行发布</w:t>
      </w:r>
      <w:r>
        <w:rPr>
          <w:rFonts w:hint="eastAsia" w:ascii="仿宋" w:hAnsi="仿宋" w:eastAsia="仿宋"/>
          <w:sz w:val="24"/>
          <w:szCs w:val="21"/>
          <w:highlight w:val="none"/>
          <w:lang w:eastAsia="zh-CN"/>
        </w:rPr>
        <w:t>。</w:t>
      </w:r>
    </w:p>
    <w:p w14:paraId="53C66957">
      <w:pPr>
        <w:pageBreakBefore w:val="0"/>
        <w:numPr>
          <w:ilvl w:val="0"/>
          <w:numId w:val="1"/>
        </w:numPr>
        <w:kinsoku/>
        <w:wordWrap w:val="0"/>
        <w:bidi w:val="0"/>
        <w:spacing w:line="360" w:lineRule="auto"/>
        <w:ind w:left="0" w:firstLine="0"/>
        <w:outlineLvl w:val="1"/>
        <w:rPr>
          <w:rFonts w:ascii="仿宋" w:hAnsi="仿宋" w:eastAsia="仿宋" w:cs="仿宋"/>
          <w:b/>
          <w:color w:val="000000"/>
          <w:sz w:val="24"/>
          <w:szCs w:val="21"/>
          <w:highlight w:val="none"/>
        </w:rPr>
      </w:pPr>
      <w:bookmarkStart w:id="48" w:name="_Toc16008"/>
      <w:r>
        <w:rPr>
          <w:rFonts w:hint="eastAsia" w:ascii="仿宋" w:hAnsi="仿宋" w:eastAsia="仿宋" w:cs="仿宋"/>
          <w:b/>
          <w:bCs/>
          <w:sz w:val="24"/>
          <w:szCs w:val="21"/>
          <w:highlight w:val="none"/>
        </w:rPr>
        <w:t>项目说明会</w:t>
      </w:r>
      <w:bookmarkEnd w:id="35"/>
      <w:bookmarkEnd w:id="36"/>
      <w:bookmarkEnd w:id="37"/>
      <w:r>
        <w:rPr>
          <w:rFonts w:hint="eastAsia" w:ascii="仿宋" w:hAnsi="仿宋" w:eastAsia="仿宋" w:cs="仿宋"/>
          <w:b/>
          <w:bCs/>
          <w:sz w:val="24"/>
          <w:szCs w:val="21"/>
          <w:highlight w:val="none"/>
        </w:rPr>
        <w:t>【□适用/</w:t>
      </w:r>
      <w:r>
        <w:rPr>
          <w:rFonts w:hint="eastAsia" w:ascii="仿宋" w:hAnsi="仿宋" w:eastAsia="仿宋" w:cs="仿宋"/>
          <w:b/>
          <w:bCs/>
          <w:sz w:val="24"/>
          <w:szCs w:val="21"/>
          <w:highlight w:val="none"/>
          <w:lang w:eastAsia="zh-CN"/>
        </w:rPr>
        <w:t>☑</w:t>
      </w:r>
      <w:r>
        <w:rPr>
          <w:rFonts w:hint="eastAsia" w:ascii="仿宋" w:hAnsi="仿宋" w:eastAsia="仿宋" w:cs="仿宋"/>
          <w:b/>
          <w:bCs/>
          <w:sz w:val="24"/>
          <w:szCs w:val="21"/>
          <w:highlight w:val="none"/>
        </w:rPr>
        <w:t>不适用</w:t>
      </w:r>
      <w:r>
        <w:rPr>
          <w:rFonts w:hint="eastAsia" w:ascii="仿宋" w:hAnsi="仿宋" w:eastAsia="仿宋" w:cs="仿宋"/>
          <w:sz w:val="24"/>
          <w:szCs w:val="21"/>
          <w:highlight w:val="none"/>
        </w:rPr>
        <w:t>】</w:t>
      </w:r>
      <w:r>
        <w:rPr>
          <w:rFonts w:hint="eastAsia" w:ascii="仿宋" w:hAnsi="仿宋" w:eastAsia="仿宋" w:cs="仿宋"/>
          <w:b/>
          <w:bCs/>
          <w:sz w:val="24"/>
          <w:szCs w:val="21"/>
          <w:highlight w:val="none"/>
        </w:rPr>
        <w:t>：</w:t>
      </w:r>
      <w:bookmarkEnd w:id="48"/>
    </w:p>
    <w:p w14:paraId="5EB5D735">
      <w:pPr>
        <w:pageBreakBefore w:val="0"/>
        <w:numPr>
          <w:ilvl w:val="0"/>
          <w:numId w:val="1"/>
        </w:numPr>
        <w:kinsoku/>
        <w:wordWrap w:val="0"/>
        <w:bidi w:val="0"/>
        <w:spacing w:line="360" w:lineRule="auto"/>
        <w:ind w:left="0" w:firstLine="0"/>
        <w:outlineLvl w:val="1"/>
        <w:rPr>
          <w:rFonts w:ascii="仿宋" w:hAnsi="仿宋" w:eastAsia="仿宋" w:cs="仿宋"/>
          <w:b/>
          <w:color w:val="000000"/>
          <w:sz w:val="24"/>
          <w:szCs w:val="21"/>
          <w:highlight w:val="none"/>
        </w:rPr>
      </w:pPr>
      <w:bookmarkStart w:id="49" w:name="_Toc1205"/>
      <w:r>
        <w:rPr>
          <w:rFonts w:hint="eastAsia" w:ascii="仿宋" w:hAnsi="仿宋" w:eastAsia="仿宋" w:cs="仿宋"/>
          <w:b/>
          <w:bCs/>
          <w:sz w:val="24"/>
          <w:szCs w:val="21"/>
          <w:highlight w:val="none"/>
        </w:rPr>
        <w:t>踏勘</w:t>
      </w:r>
      <w:bookmarkStart w:id="50" w:name="_Toc25685"/>
      <w:bookmarkStart w:id="51" w:name="_Toc149230391"/>
      <w:bookmarkStart w:id="52" w:name="_Toc150933575"/>
      <w:bookmarkStart w:id="53" w:name="_Toc4643"/>
      <w:bookmarkStart w:id="54" w:name="_Toc108796137"/>
      <w:r>
        <w:rPr>
          <w:rFonts w:hint="eastAsia" w:ascii="仿宋" w:hAnsi="仿宋" w:eastAsia="仿宋" w:cs="仿宋"/>
          <w:b/>
          <w:bCs/>
          <w:sz w:val="24"/>
          <w:szCs w:val="21"/>
          <w:highlight w:val="none"/>
        </w:rPr>
        <w:t>【□适用/</w:t>
      </w:r>
      <w:r>
        <w:rPr>
          <w:rFonts w:hint="eastAsia" w:ascii="仿宋" w:hAnsi="仿宋" w:eastAsia="仿宋" w:cs="仿宋"/>
          <w:b/>
          <w:bCs/>
          <w:sz w:val="24"/>
          <w:szCs w:val="21"/>
          <w:highlight w:val="none"/>
          <w:lang w:eastAsia="zh-CN"/>
        </w:rPr>
        <w:t>☑</w:t>
      </w:r>
      <w:r>
        <w:rPr>
          <w:rFonts w:hint="eastAsia" w:ascii="仿宋" w:hAnsi="仿宋" w:eastAsia="仿宋" w:cs="仿宋"/>
          <w:b/>
          <w:bCs/>
          <w:sz w:val="24"/>
          <w:szCs w:val="21"/>
          <w:highlight w:val="none"/>
        </w:rPr>
        <w:t>不适用</w:t>
      </w:r>
      <w:r>
        <w:rPr>
          <w:rFonts w:hint="eastAsia" w:ascii="仿宋" w:hAnsi="仿宋" w:eastAsia="仿宋" w:cs="仿宋"/>
          <w:sz w:val="24"/>
          <w:szCs w:val="21"/>
          <w:highlight w:val="none"/>
        </w:rPr>
        <w:t>】</w:t>
      </w:r>
      <w:r>
        <w:rPr>
          <w:rFonts w:hint="eastAsia" w:ascii="仿宋" w:hAnsi="仿宋" w:eastAsia="仿宋" w:cs="仿宋"/>
          <w:b/>
          <w:bCs/>
          <w:sz w:val="24"/>
          <w:szCs w:val="21"/>
          <w:highlight w:val="none"/>
        </w:rPr>
        <w:t>：</w:t>
      </w:r>
      <w:bookmarkEnd w:id="49"/>
    </w:p>
    <w:bookmarkEnd w:id="50"/>
    <w:bookmarkEnd w:id="51"/>
    <w:bookmarkEnd w:id="52"/>
    <w:bookmarkEnd w:id="53"/>
    <w:bookmarkEnd w:id="54"/>
    <w:p w14:paraId="68F2D8B1">
      <w:pPr>
        <w:pageBreakBefore w:val="0"/>
        <w:numPr>
          <w:ilvl w:val="0"/>
          <w:numId w:val="1"/>
        </w:numPr>
        <w:kinsoku/>
        <w:wordWrap w:val="0"/>
        <w:bidi w:val="0"/>
        <w:spacing w:line="360" w:lineRule="auto"/>
        <w:ind w:left="0" w:firstLine="0"/>
        <w:outlineLvl w:val="1"/>
        <w:rPr>
          <w:rFonts w:ascii="仿宋" w:hAnsi="仿宋" w:eastAsia="仿宋" w:cs="仿宋"/>
          <w:b/>
          <w:bCs/>
          <w:sz w:val="24"/>
          <w:szCs w:val="24"/>
          <w:highlight w:val="none"/>
        </w:rPr>
      </w:pPr>
      <w:bookmarkStart w:id="55" w:name="_Toc19999"/>
      <w:bookmarkStart w:id="56" w:name="_Toc150933576"/>
      <w:bookmarkStart w:id="57" w:name="_Toc149230392"/>
      <w:r>
        <w:rPr>
          <w:rFonts w:hint="eastAsia" w:ascii="仿宋" w:hAnsi="仿宋" w:eastAsia="仿宋" w:cs="仿宋"/>
          <w:b/>
          <w:bCs/>
          <w:sz w:val="24"/>
          <w:szCs w:val="24"/>
          <w:highlight w:val="none"/>
        </w:rPr>
        <w:t>投标文件递交：</w:t>
      </w:r>
      <w:bookmarkEnd w:id="55"/>
    </w:p>
    <w:p w14:paraId="093F3F1C">
      <w:pPr>
        <w:pageBreakBefore w:val="0"/>
        <w:tabs>
          <w:tab w:val="left" w:pos="420"/>
        </w:tabs>
        <w:kinsoku/>
        <w:wordWrap w:val="0"/>
        <w:bidi w:val="0"/>
        <w:spacing w:line="240" w:lineRule="auto"/>
        <w:ind w:firstLine="480" w:firstLineChars="200"/>
        <w:jc w:val="left"/>
        <w:rPr>
          <w:rFonts w:ascii="Times New Roman" w:hAnsi="Times New Roman" w:eastAsia="仿宋" w:cs="Times New Roman"/>
          <w:sz w:val="24"/>
          <w:szCs w:val="21"/>
          <w:highlight w:val="none"/>
        </w:rPr>
      </w:pPr>
      <w:r>
        <w:rPr>
          <w:rFonts w:hint="eastAsia" w:ascii="仿宋" w:hAnsi="仿宋" w:eastAsia="仿宋" w:cs="仿宋"/>
          <w:sz w:val="24"/>
          <w:szCs w:val="24"/>
          <w:highlight w:val="none"/>
        </w:rPr>
        <w:t>本项目需要递交密封完好的纸质版投标文件，纸质版投标文件递交要求：</w:t>
      </w:r>
    </w:p>
    <w:p w14:paraId="5AC21326">
      <w:pPr>
        <w:keepNext w:val="0"/>
        <w:keepLines w:val="0"/>
        <w:pageBreakBefore w:val="0"/>
        <w:widowControl/>
        <w:numPr>
          <w:ilvl w:val="255"/>
          <w:numId w:val="0"/>
        </w:numPr>
        <w:kinsoku/>
        <w:wordWrap w:val="0"/>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sz w:val="24"/>
          <w:szCs w:val="24"/>
          <w:highlight w:val="none"/>
        </w:rPr>
      </w:pPr>
      <w:r>
        <w:rPr>
          <w:rFonts w:hint="eastAsia" w:ascii="仿宋" w:hAnsi="仿宋" w:eastAsia="仿宋" w:cs="仿宋"/>
          <w:sz w:val="24"/>
          <w:szCs w:val="24"/>
          <w:highlight w:val="none"/>
          <w:lang w:bidi="ar"/>
        </w:rPr>
        <w:t>1．投标文件递交</w:t>
      </w:r>
      <w:r>
        <w:rPr>
          <w:rFonts w:hint="eastAsia" w:ascii="仿宋" w:hAnsi="仿宋" w:eastAsia="仿宋" w:cs="仿宋"/>
          <w:sz w:val="24"/>
          <w:szCs w:val="24"/>
          <w:highlight w:val="none"/>
          <w:lang w:val="en-US" w:eastAsia="zh-CN" w:bidi="ar"/>
        </w:rPr>
        <w:t>截止</w:t>
      </w:r>
      <w:r>
        <w:rPr>
          <w:rFonts w:hint="eastAsia" w:ascii="仿宋" w:hAnsi="仿宋" w:eastAsia="仿宋" w:cs="仿宋"/>
          <w:sz w:val="24"/>
          <w:szCs w:val="24"/>
          <w:highlight w:val="none"/>
          <w:lang w:bidi="ar"/>
        </w:rPr>
        <w:t>时间</w:t>
      </w:r>
      <w:r>
        <w:rPr>
          <w:rFonts w:hint="eastAsia" w:ascii="仿宋" w:hAnsi="仿宋" w:eastAsia="仿宋" w:cs="仿宋"/>
          <w:sz w:val="24"/>
          <w:szCs w:val="24"/>
          <w:highlight w:val="none"/>
        </w:rPr>
        <w:t>（即</w:t>
      </w:r>
      <w:r>
        <w:rPr>
          <w:rFonts w:hint="eastAsia" w:ascii="仿宋" w:hAnsi="仿宋" w:eastAsia="仿宋" w:cs="仿宋"/>
          <w:sz w:val="24"/>
          <w:szCs w:val="24"/>
          <w:highlight w:val="none"/>
          <w:lang w:val="en-US" w:eastAsia="zh-CN"/>
        </w:rPr>
        <w:t>开标</w:t>
      </w:r>
      <w:r>
        <w:rPr>
          <w:rFonts w:hint="eastAsia" w:ascii="仿宋" w:hAnsi="仿宋" w:eastAsia="仿宋" w:cs="仿宋"/>
          <w:sz w:val="24"/>
          <w:szCs w:val="24"/>
          <w:highlight w:val="none"/>
        </w:rPr>
        <w:t>时间）</w:t>
      </w:r>
      <w:r>
        <w:rPr>
          <w:rFonts w:hint="eastAsia" w:ascii="仿宋" w:hAnsi="仿宋" w:eastAsia="仿宋" w:cs="仿宋"/>
          <w:sz w:val="24"/>
          <w:szCs w:val="24"/>
          <w:highlight w:val="none"/>
          <w:lang w:bidi="ar"/>
        </w:rPr>
        <w:t>：【</w:t>
      </w:r>
      <w:r>
        <w:rPr>
          <w:rFonts w:hint="eastAsia" w:ascii="仿宋" w:hAnsi="仿宋" w:eastAsia="仿宋" w:cs="仿宋"/>
          <w:sz w:val="24"/>
          <w:szCs w:val="24"/>
          <w:highlight w:val="none"/>
        </w:rPr>
        <w:t>20</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05</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分至投标文件递交截止时间】。逾期送达或不符合规定的投标文件恕不接受。</w:t>
      </w:r>
    </w:p>
    <w:p w14:paraId="09E6BAFF">
      <w:pPr>
        <w:keepNext w:val="0"/>
        <w:keepLines w:val="0"/>
        <w:pageBreakBefore w:val="0"/>
        <w:numPr>
          <w:ilvl w:val="255"/>
          <w:numId w:val="0"/>
        </w:numPr>
        <w:kinsoku/>
        <w:wordWrap w:val="0"/>
        <w:overflowPunct/>
        <w:topLinePunct w:val="0"/>
        <w:autoSpaceDE/>
        <w:autoSpaceDN/>
        <w:bidi w:val="0"/>
        <w:adjustRightInd/>
        <w:snapToGrid/>
        <w:spacing w:line="240" w:lineRule="auto"/>
        <w:ind w:left="0" w:leftChars="0" w:firstLine="480" w:firstLineChars="200"/>
        <w:jc w:val="left"/>
        <w:textAlignment w:val="auto"/>
        <w:rPr>
          <w:rFonts w:ascii="Times New Roman" w:hAnsi="Times New Roman" w:eastAsia="仿宋" w:cs="Times New Roman"/>
          <w:sz w:val="24"/>
          <w:szCs w:val="21"/>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bidi="ar"/>
        </w:rPr>
        <w:t>投标文件递交地点</w:t>
      </w:r>
      <w:r>
        <w:rPr>
          <w:rFonts w:hint="eastAsia" w:ascii="仿宋" w:hAnsi="仿宋" w:eastAsia="仿宋" w:cs="仿宋"/>
          <w:sz w:val="24"/>
          <w:szCs w:val="24"/>
          <w:highlight w:val="none"/>
          <w:lang w:eastAsia="zh-CN" w:bidi="ar"/>
        </w:rPr>
        <w:t>（</w:t>
      </w:r>
      <w:r>
        <w:rPr>
          <w:rFonts w:hint="eastAsia" w:ascii="仿宋" w:hAnsi="仿宋" w:eastAsia="仿宋" w:cs="仿宋"/>
          <w:sz w:val="24"/>
          <w:szCs w:val="24"/>
          <w:highlight w:val="none"/>
          <w:lang w:val="en-US" w:eastAsia="zh-CN" w:bidi="ar"/>
        </w:rPr>
        <w:t>即开标地点</w:t>
      </w:r>
      <w:r>
        <w:rPr>
          <w:rFonts w:hint="eastAsia" w:ascii="仿宋" w:hAnsi="仿宋" w:eastAsia="仿宋" w:cs="仿宋"/>
          <w:sz w:val="24"/>
          <w:szCs w:val="24"/>
          <w:highlight w:val="none"/>
          <w:lang w:eastAsia="zh-CN" w:bidi="ar"/>
        </w:rPr>
        <w:t>）</w:t>
      </w:r>
      <w:r>
        <w:rPr>
          <w:rFonts w:hint="eastAsia" w:ascii="仿宋" w:hAnsi="仿宋" w:eastAsia="仿宋" w:cs="仿宋"/>
          <w:sz w:val="24"/>
          <w:szCs w:val="24"/>
          <w:highlight w:val="none"/>
          <w:lang w:bidi="ar"/>
        </w:rPr>
        <w:t>：</w:t>
      </w:r>
      <w:r>
        <w:rPr>
          <w:rFonts w:hint="eastAsia" w:ascii="仿宋" w:hAnsi="仿宋" w:eastAsia="仿宋" w:cs="仿宋"/>
          <w:bCs/>
          <w:sz w:val="24"/>
          <w:szCs w:val="24"/>
          <w:highlight w:val="none"/>
        </w:rPr>
        <w:t>福建省中通通信有限公司，福州市仓山区信平路10号6楼【</w:t>
      </w:r>
      <w:r>
        <w:rPr>
          <w:rFonts w:hint="eastAsia" w:ascii="仿宋" w:hAnsi="仿宋" w:eastAsia="仿宋" w:cs="仿宋"/>
          <w:bCs/>
          <w:sz w:val="24"/>
          <w:szCs w:val="24"/>
          <w:highlight w:val="none"/>
          <w:lang w:val="en-US" w:eastAsia="zh-CN"/>
        </w:rPr>
        <w:t>开标大厅</w:t>
      </w:r>
      <w:r>
        <w:rPr>
          <w:rFonts w:hint="eastAsia" w:ascii="仿宋" w:hAnsi="仿宋" w:eastAsia="仿宋" w:cs="仿宋"/>
          <w:bCs/>
          <w:sz w:val="24"/>
          <w:szCs w:val="24"/>
          <w:highlight w:val="none"/>
        </w:rPr>
        <w:t>】</w:t>
      </w:r>
      <w:r>
        <w:rPr>
          <w:rFonts w:hint="eastAsia" w:ascii="仿宋" w:hAnsi="仿宋" w:eastAsia="仿宋" w:cs="仿宋"/>
          <w:sz w:val="24"/>
          <w:szCs w:val="24"/>
          <w:highlight w:val="none"/>
        </w:rPr>
        <w:t>。</w:t>
      </w:r>
      <w:r>
        <w:rPr>
          <w:rFonts w:hint="eastAsia" w:ascii="仿宋" w:hAnsi="仿宋" w:eastAsia="仿宋" w:cs="仿宋"/>
          <w:sz w:val="24"/>
          <w:szCs w:val="24"/>
          <w:highlight w:val="yellow"/>
        </w:rPr>
        <w:t>【</w:t>
      </w:r>
      <w:r>
        <w:rPr>
          <w:rFonts w:hint="eastAsia" w:ascii="仿宋" w:hAnsi="仿宋" w:eastAsia="仿宋" w:cs="仿宋"/>
          <w:sz w:val="24"/>
          <w:szCs w:val="24"/>
          <w:highlight w:val="yellow"/>
          <w:lang w:val="en-US" w:eastAsia="zh-CN"/>
        </w:rPr>
        <w:t>本项目不接受邮寄</w:t>
      </w:r>
      <w:r>
        <w:rPr>
          <w:rFonts w:hint="eastAsia" w:ascii="仿宋" w:hAnsi="仿宋" w:eastAsia="仿宋" w:cs="仿宋"/>
          <w:sz w:val="24"/>
          <w:szCs w:val="24"/>
          <w:highlight w:val="yellow"/>
        </w:rPr>
        <w:t>】</w:t>
      </w:r>
    </w:p>
    <w:p w14:paraId="70279ADA">
      <w:pPr>
        <w:pageBreakBefore w:val="0"/>
        <w:tabs>
          <w:tab w:val="left" w:pos="420"/>
        </w:tabs>
        <w:kinsoku/>
        <w:wordWrap w:val="0"/>
        <w:bidi w:val="0"/>
        <w:spacing w:line="24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招标文件要求递交纸质投标文件的，出现以下情形之一时，【招标人/招标代理机构】不予接收：</w:t>
      </w:r>
    </w:p>
    <w:p w14:paraId="658504EB">
      <w:pPr>
        <w:pageBreakBefore w:val="0"/>
        <w:tabs>
          <w:tab w:val="left" w:pos="420"/>
        </w:tabs>
        <w:kinsoku/>
        <w:wordWrap w:val="0"/>
        <w:bidi w:val="0"/>
        <w:spacing w:line="240" w:lineRule="auto"/>
        <w:ind w:firstLine="720" w:firstLineChars="3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3</w:t>
      </w:r>
      <w:r>
        <w:rPr>
          <w:rFonts w:hint="eastAsia" w:ascii="仿宋" w:hAnsi="仿宋" w:eastAsia="仿宋" w:cs="仿宋"/>
          <w:sz w:val="24"/>
          <w:szCs w:val="24"/>
          <w:highlight w:val="none"/>
        </w:rPr>
        <w:t>.1逾期送达或者未送达指定地点的；</w:t>
      </w:r>
    </w:p>
    <w:p w14:paraId="411ACE1C">
      <w:pPr>
        <w:pageBreakBefore w:val="0"/>
        <w:tabs>
          <w:tab w:val="left" w:pos="420"/>
        </w:tabs>
        <w:kinsoku/>
        <w:wordWrap w:val="0"/>
        <w:bidi w:val="0"/>
        <w:spacing w:line="240" w:lineRule="auto"/>
        <w:ind w:firstLine="720" w:firstLineChars="3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3</w:t>
      </w:r>
      <w:r>
        <w:rPr>
          <w:rFonts w:hint="eastAsia" w:ascii="仿宋" w:hAnsi="仿宋" w:eastAsia="仿宋" w:cs="仿宋"/>
          <w:sz w:val="24"/>
          <w:szCs w:val="24"/>
          <w:highlight w:val="none"/>
        </w:rPr>
        <w:t>.2未按照招标文件要求密封的；</w:t>
      </w:r>
    </w:p>
    <w:p w14:paraId="73DC8740">
      <w:pPr>
        <w:pageBreakBefore w:val="0"/>
        <w:tabs>
          <w:tab w:val="left" w:pos="420"/>
        </w:tabs>
        <w:kinsoku/>
        <w:wordWrap w:val="0"/>
        <w:bidi w:val="0"/>
        <w:spacing w:line="240" w:lineRule="auto"/>
        <w:ind w:firstLine="480" w:firstLineChars="200"/>
        <w:rPr>
          <w:rFonts w:eastAsia="仿宋"/>
          <w:sz w:val="24"/>
          <w:szCs w:val="21"/>
          <w:highlight w:val="none"/>
        </w:rPr>
      </w:pPr>
      <w:r>
        <w:rPr>
          <w:rFonts w:hint="eastAsia" w:ascii="仿宋" w:hAnsi="仿宋" w:eastAsia="仿宋" w:cs="仿宋"/>
          <w:sz w:val="24"/>
          <w:szCs w:val="24"/>
          <w:highlight w:val="none"/>
          <w:lang w:val="en-US" w:eastAsia="zh-CN"/>
        </w:rPr>
        <w:t xml:space="preserve"> 3</w:t>
      </w:r>
      <w:r>
        <w:rPr>
          <w:rFonts w:hint="eastAsia" w:ascii="仿宋" w:hAnsi="仿宋" w:eastAsia="仿宋" w:cs="仿宋"/>
          <w:sz w:val="24"/>
          <w:szCs w:val="24"/>
          <w:highlight w:val="none"/>
        </w:rPr>
        <w:t>.3未按照本公告要求获得本项目招标文件的</w:t>
      </w:r>
      <w:r>
        <w:rPr>
          <w:rFonts w:hint="eastAsia" w:ascii="仿宋" w:hAnsi="仿宋" w:eastAsia="仿宋" w:cs="仿宋"/>
          <w:sz w:val="24"/>
          <w:szCs w:val="24"/>
          <w:highlight w:val="none"/>
          <w:lang w:bidi="ar"/>
        </w:rPr>
        <w:t>。</w:t>
      </w:r>
    </w:p>
    <w:p w14:paraId="0719D445">
      <w:pPr>
        <w:pageBreakBefore w:val="0"/>
        <w:widowControl/>
        <w:numPr>
          <w:ilvl w:val="0"/>
          <w:numId w:val="1"/>
        </w:numPr>
        <w:shd w:val="clear" w:color="auto" w:fill="FFFFFF"/>
        <w:kinsoku/>
        <w:wordWrap w:val="0"/>
        <w:bidi w:val="0"/>
        <w:spacing w:line="360" w:lineRule="auto"/>
        <w:ind w:left="0" w:firstLine="0"/>
        <w:outlineLvl w:val="1"/>
        <w:rPr>
          <w:rFonts w:ascii="仿宋" w:hAnsi="仿宋" w:eastAsia="仿宋" w:cs="仿宋"/>
          <w:b/>
          <w:bCs/>
          <w:sz w:val="24"/>
          <w:szCs w:val="24"/>
          <w:highlight w:val="none"/>
        </w:rPr>
      </w:pPr>
      <w:bookmarkStart w:id="58" w:name="_Toc4032"/>
      <w:r>
        <w:rPr>
          <w:rFonts w:hint="eastAsia" w:ascii="仿宋" w:hAnsi="仿宋" w:eastAsia="仿宋" w:cs="仿宋"/>
          <w:b/>
          <w:bCs/>
          <w:sz w:val="24"/>
          <w:szCs w:val="24"/>
          <w:highlight w:val="none"/>
        </w:rPr>
        <w:t>开标（开标时间、地点及注意事项）：</w:t>
      </w:r>
      <w:r>
        <w:rPr>
          <w:rFonts w:hint="eastAsia" w:ascii="仿宋" w:hAnsi="仿宋" w:eastAsia="仿宋" w:cs="仿宋"/>
          <w:sz w:val="24"/>
          <w:szCs w:val="21"/>
          <w:highlight w:val="none"/>
        </w:rPr>
        <w:t>【</w:t>
      </w:r>
      <w:r>
        <w:rPr>
          <w:rFonts w:hint="eastAsia" w:ascii="仿宋" w:hAnsi="仿宋" w:eastAsia="仿宋" w:cs="仿宋"/>
          <w:sz w:val="24"/>
          <w:szCs w:val="21"/>
          <w:highlight w:val="none"/>
          <w:lang w:val="en-US" w:eastAsia="zh-CN"/>
        </w:rPr>
        <w:t>备注：以下表述适用中银智采平台实施的项目，线下实施项目应</w:t>
      </w:r>
      <w:r>
        <w:rPr>
          <w:rFonts w:hint="eastAsia" w:ascii="仿宋" w:hAnsi="仿宋" w:eastAsia="仿宋" w:cs="仿宋"/>
          <w:sz w:val="24"/>
          <w:szCs w:val="21"/>
          <w:highlight w:val="none"/>
        </w:rPr>
        <w:t>根据实际情况自行编辑】</w:t>
      </w:r>
      <w:bookmarkEnd w:id="58"/>
    </w:p>
    <w:p w14:paraId="6606EF03">
      <w:pPr>
        <w:pageBreakBefore w:val="0"/>
        <w:tabs>
          <w:tab w:val="left" w:pos="420"/>
        </w:tabs>
        <w:kinsoku/>
        <w:wordWrap w:val="0"/>
        <w:bidi w:val="0"/>
        <w:spacing w:line="24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w:t>
      </w:r>
      <w:r>
        <w:rPr>
          <w:rFonts w:hint="eastAsia" w:ascii="仿宋" w:hAnsi="仿宋" w:eastAsia="仿宋" w:cs="仿宋"/>
          <w:sz w:val="24"/>
          <w:szCs w:val="24"/>
          <w:highlight w:val="none"/>
        </w:rPr>
        <w:t>一）开标时间：20</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05</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w:t>
      </w:r>
    </w:p>
    <w:p w14:paraId="692A1CC9">
      <w:pPr>
        <w:pageBreakBefore w:val="0"/>
        <w:tabs>
          <w:tab w:val="left" w:pos="420"/>
        </w:tabs>
        <w:kinsoku/>
        <w:wordWrap w:val="0"/>
        <w:bidi w:val="0"/>
        <w:spacing w:line="24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w:t>
      </w:r>
      <w:r>
        <w:rPr>
          <w:rFonts w:hint="eastAsia" w:ascii="仿宋" w:hAnsi="仿宋" w:eastAsia="仿宋" w:cs="仿宋"/>
          <w:sz w:val="24"/>
          <w:szCs w:val="24"/>
          <w:highlight w:val="none"/>
        </w:rPr>
        <w:t>二）开标地点：</w:t>
      </w:r>
      <w:r>
        <w:rPr>
          <w:rFonts w:hint="eastAsia" w:ascii="仿宋" w:hAnsi="仿宋" w:eastAsia="仿宋" w:cs="仿宋"/>
          <w:bCs/>
          <w:sz w:val="24"/>
          <w:szCs w:val="24"/>
          <w:highlight w:val="none"/>
        </w:rPr>
        <w:t>福建省中通通信有限公司，福州市仓山区信平路10号6楼【</w:t>
      </w:r>
      <w:r>
        <w:rPr>
          <w:rFonts w:hint="eastAsia" w:ascii="仿宋" w:hAnsi="仿宋" w:eastAsia="仿宋" w:cs="仿宋"/>
          <w:bCs/>
          <w:sz w:val="24"/>
          <w:szCs w:val="24"/>
          <w:highlight w:val="none"/>
          <w:lang w:val="en-US" w:eastAsia="zh-CN"/>
        </w:rPr>
        <w:t>开标大厅</w:t>
      </w:r>
      <w:r>
        <w:rPr>
          <w:rFonts w:hint="eastAsia" w:ascii="仿宋" w:hAnsi="仿宋" w:eastAsia="仿宋" w:cs="仿宋"/>
          <w:bCs/>
          <w:sz w:val="24"/>
          <w:szCs w:val="24"/>
          <w:highlight w:val="none"/>
        </w:rPr>
        <w:t>】</w:t>
      </w:r>
      <w:r>
        <w:rPr>
          <w:rFonts w:hint="eastAsia" w:ascii="仿宋" w:hAnsi="仿宋" w:eastAsia="仿宋" w:cs="仿宋"/>
          <w:sz w:val="24"/>
          <w:szCs w:val="24"/>
          <w:highlight w:val="none"/>
        </w:rPr>
        <w:t>。</w:t>
      </w:r>
    </w:p>
    <w:p w14:paraId="24D6FAE2">
      <w:pPr>
        <w:widowControl w:val="0"/>
        <w:ind w:firstLine="240" w:firstLineChars="100"/>
        <w:jc w:val="left"/>
        <w:rPr>
          <w:rFonts w:ascii="仿宋" w:hAnsi="仿宋" w:eastAsia="仿宋" w:cs="仿宋"/>
          <w:sz w:val="24"/>
          <w:szCs w:val="24"/>
          <w:highlight w:val="none"/>
          <w:lang w:bidi="ar"/>
        </w:rPr>
      </w:pPr>
      <w:r>
        <w:rPr>
          <w:rFonts w:ascii="仿宋" w:hAnsi="仿宋" w:eastAsia="仿宋" w:cs="仿宋"/>
          <w:kern w:val="2"/>
          <w:sz w:val="24"/>
          <w:szCs w:val="24"/>
          <w:highlight w:val="none"/>
          <w:lang w:val="en-US" w:eastAsia="zh-CN" w:bidi="ar-SA"/>
        </w:rPr>
        <w:t>（</w:t>
      </w:r>
      <w:r>
        <w:rPr>
          <w:rFonts w:hint="eastAsia" w:ascii="仿宋" w:hAnsi="仿宋" w:eastAsia="仿宋" w:cs="仿宋"/>
          <w:kern w:val="2"/>
          <w:sz w:val="24"/>
          <w:szCs w:val="24"/>
          <w:highlight w:val="none"/>
          <w:lang w:val="en-US" w:eastAsia="zh-CN" w:bidi="ar-SA"/>
        </w:rPr>
        <w:t>三）本项目将于上述时间、地点进行开标，【招标人/招标代理机构】邀请投标人的法定代表人/负责人或者其委托代理人准时参加。</w:t>
      </w:r>
    </w:p>
    <w:p w14:paraId="3B5CB484">
      <w:pPr>
        <w:pageBreakBefore w:val="0"/>
        <w:numPr>
          <w:ilvl w:val="0"/>
          <w:numId w:val="1"/>
        </w:numPr>
        <w:kinsoku/>
        <w:wordWrap w:val="0"/>
        <w:bidi w:val="0"/>
        <w:spacing w:line="360" w:lineRule="auto"/>
        <w:ind w:left="0" w:firstLine="0"/>
        <w:outlineLvl w:val="1"/>
        <w:rPr>
          <w:rFonts w:ascii="仿宋" w:hAnsi="仿宋" w:eastAsia="仿宋" w:cs="仿宋"/>
          <w:b/>
          <w:bCs/>
          <w:sz w:val="24"/>
          <w:szCs w:val="21"/>
          <w:highlight w:val="none"/>
        </w:rPr>
      </w:pPr>
      <w:bookmarkStart w:id="59" w:name="_Toc23602"/>
      <w:r>
        <w:rPr>
          <w:rFonts w:hint="eastAsia" w:ascii="仿宋" w:hAnsi="仿宋" w:eastAsia="仿宋" w:cs="仿宋"/>
          <w:b/>
          <w:bCs/>
          <w:sz w:val="24"/>
          <w:szCs w:val="21"/>
          <w:highlight w:val="none"/>
        </w:rPr>
        <w:t>举报方式：</w:t>
      </w:r>
      <w:bookmarkEnd w:id="59"/>
    </w:p>
    <w:p w14:paraId="6968FC12">
      <w:pPr>
        <w:pageBreakBefore w:val="0"/>
        <w:tabs>
          <w:tab w:val="left" w:pos="420"/>
        </w:tabs>
        <w:kinsoku/>
        <w:wordWrap w:val="0"/>
        <w:bidi w:val="0"/>
        <w:spacing w:line="240" w:lineRule="auto"/>
        <w:ind w:firstLine="480" w:firstLineChars="200"/>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投标人与招标人在接触及合作过程中，如遇招标人部门或员工的违法、违纪等问题，可向招标人纪检部门反映和举报。招标人保护举报人的合法权益，严肃处理打击报复的行为。</w:t>
      </w:r>
    </w:p>
    <w:p w14:paraId="11ED4C17">
      <w:pPr>
        <w:tabs>
          <w:tab w:val="left" w:pos="420"/>
        </w:tabs>
        <w:spacing w:line="360" w:lineRule="auto"/>
        <w:ind w:firstLine="480" w:firstLineChars="200"/>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举报电话：</w:t>
      </w:r>
      <w:r>
        <w:rPr>
          <w:rFonts w:hint="eastAsia" w:ascii="仿宋" w:hAnsi="仿宋" w:eastAsia="仿宋" w:cs="Times New Roman"/>
          <w:sz w:val="24"/>
          <w:szCs w:val="24"/>
          <w:highlight w:val="none"/>
          <w:lang w:val="en-US" w:eastAsia="zh-CN"/>
        </w:rPr>
        <w:t>0595-22152912</w:t>
      </w:r>
    </w:p>
    <w:p w14:paraId="03210E0F">
      <w:pPr>
        <w:pageBreakBefore w:val="0"/>
        <w:tabs>
          <w:tab w:val="left" w:pos="420"/>
        </w:tabs>
        <w:kinsoku/>
        <w:wordWrap w:val="0"/>
        <w:bidi w:val="0"/>
        <w:spacing w:line="240" w:lineRule="auto"/>
        <w:ind w:firstLine="480" w:firstLineChars="200"/>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信函地址：</w:t>
      </w:r>
      <w:r>
        <w:rPr>
          <w:rFonts w:hint="eastAsia" w:ascii="仿宋" w:hAnsi="仿宋" w:eastAsia="仿宋" w:cs="仿宋"/>
          <w:b w:val="0"/>
          <w:bCs/>
          <w:sz w:val="24"/>
          <w:szCs w:val="24"/>
          <w:highlight w:val="none"/>
          <w:lang w:val="en-US" w:eastAsia="zh-CN"/>
        </w:rPr>
        <w:t>泉州分行附属楼一楼纪委办公室信箱</w:t>
      </w:r>
    </w:p>
    <w:p w14:paraId="27D258AA">
      <w:pPr>
        <w:pageBreakBefore w:val="0"/>
        <w:numPr>
          <w:ilvl w:val="0"/>
          <w:numId w:val="1"/>
        </w:numPr>
        <w:kinsoku/>
        <w:wordWrap w:val="0"/>
        <w:bidi w:val="0"/>
        <w:spacing w:line="360" w:lineRule="auto"/>
        <w:ind w:left="0" w:firstLine="0"/>
        <w:outlineLvl w:val="1"/>
        <w:rPr>
          <w:rFonts w:ascii="仿宋" w:hAnsi="仿宋" w:eastAsia="仿宋" w:cs="仿宋"/>
          <w:b/>
          <w:sz w:val="24"/>
          <w:szCs w:val="21"/>
          <w:highlight w:val="none"/>
        </w:rPr>
      </w:pPr>
      <w:bookmarkStart w:id="60" w:name="_Toc16906"/>
      <w:r>
        <w:rPr>
          <w:rFonts w:hint="eastAsia" w:ascii="仿宋" w:hAnsi="仿宋" w:eastAsia="仿宋" w:cs="仿宋"/>
          <w:b/>
          <w:bCs/>
          <w:sz w:val="24"/>
          <w:szCs w:val="21"/>
          <w:highlight w:val="none"/>
        </w:rPr>
        <w:t>其他</w:t>
      </w:r>
      <w:bookmarkEnd w:id="56"/>
      <w:bookmarkEnd w:id="57"/>
      <w:r>
        <w:rPr>
          <w:rFonts w:hint="eastAsia" w:ascii="仿宋" w:hAnsi="仿宋" w:eastAsia="仿宋" w:cs="仿宋"/>
          <w:b/>
          <w:bCs/>
          <w:sz w:val="24"/>
          <w:szCs w:val="21"/>
          <w:highlight w:val="none"/>
        </w:rPr>
        <w:t>：</w:t>
      </w:r>
      <w:bookmarkEnd w:id="60"/>
    </w:p>
    <w:p w14:paraId="530E9571">
      <w:pPr>
        <w:pageBreakBefore w:val="0"/>
        <w:kinsoku/>
        <w:wordWrap w:val="0"/>
        <w:bidi w:val="0"/>
        <w:spacing w:line="240" w:lineRule="auto"/>
        <w:ind w:firstLine="482" w:firstLineChars="200"/>
        <w:rPr>
          <w:rFonts w:ascii="仿宋" w:hAnsi="仿宋" w:eastAsia="仿宋" w:cs="仿宋"/>
          <w:b/>
          <w:sz w:val="24"/>
          <w:szCs w:val="21"/>
          <w:highlight w:val="none"/>
        </w:rPr>
      </w:pPr>
      <w:r>
        <w:rPr>
          <w:rFonts w:hint="eastAsia" w:ascii="仿宋" w:hAnsi="仿宋" w:eastAsia="仿宋" w:cs="仿宋"/>
          <w:b/>
          <w:sz w:val="24"/>
          <w:szCs w:val="21"/>
          <w:highlight w:val="none"/>
        </w:rPr>
        <w:t>本项目不属于依法必须进行招标的项目，也不属于政府采购项目，为招标人自行采购的项目。</w:t>
      </w:r>
    </w:p>
    <w:p w14:paraId="21216F32">
      <w:pPr>
        <w:pageBreakBefore w:val="0"/>
        <w:numPr>
          <w:ilvl w:val="0"/>
          <w:numId w:val="1"/>
        </w:numPr>
        <w:kinsoku/>
        <w:wordWrap w:val="0"/>
        <w:bidi w:val="0"/>
        <w:spacing w:line="360" w:lineRule="auto"/>
        <w:ind w:left="0" w:firstLine="0"/>
        <w:outlineLvl w:val="1"/>
        <w:rPr>
          <w:rFonts w:ascii="仿宋" w:hAnsi="仿宋" w:eastAsia="仿宋" w:cs="仿宋"/>
          <w:b/>
          <w:sz w:val="24"/>
          <w:szCs w:val="21"/>
          <w:highlight w:val="none"/>
        </w:rPr>
      </w:pPr>
      <w:bookmarkStart w:id="61" w:name="_Toc29032"/>
      <w:r>
        <w:rPr>
          <w:rFonts w:ascii="仿宋" w:hAnsi="仿宋" w:eastAsia="仿宋"/>
          <w:b/>
          <w:sz w:val="24"/>
          <w:szCs w:val="21"/>
          <w:highlight w:val="none"/>
        </w:rPr>
        <w:t>联系方式：</w:t>
      </w:r>
      <w:bookmarkEnd w:id="61"/>
    </w:p>
    <w:p w14:paraId="7617CC3B">
      <w:pPr>
        <w:pageBreakBefore w:val="0"/>
        <w:widowControl w:val="0"/>
        <w:tabs>
          <w:tab w:val="left" w:pos="420"/>
        </w:tabs>
        <w:kinsoku/>
        <w:wordWrap w:val="0"/>
        <w:bidi w:val="0"/>
        <w:spacing w:line="240" w:lineRule="auto"/>
        <w:ind w:firstLine="482" w:firstLineChars="200"/>
        <w:jc w:val="left"/>
        <w:rPr>
          <w:rFonts w:ascii="仿宋" w:hAnsi="仿宋" w:eastAsia="仿宋" w:cs="仿宋"/>
          <w:b/>
          <w:kern w:val="2"/>
          <w:sz w:val="24"/>
          <w:szCs w:val="24"/>
          <w:highlight w:val="none"/>
          <w:lang w:val="en-US" w:eastAsia="zh-CN" w:bidi="ar"/>
        </w:rPr>
      </w:pPr>
      <w:r>
        <w:rPr>
          <w:rFonts w:hint="eastAsia" w:ascii="仿宋" w:hAnsi="仿宋" w:eastAsia="仿宋" w:cs="仿宋"/>
          <w:b/>
          <w:kern w:val="2"/>
          <w:sz w:val="24"/>
          <w:szCs w:val="24"/>
          <w:highlight w:val="none"/>
          <w:lang w:val="en-US" w:eastAsia="zh-CN" w:bidi="ar"/>
        </w:rPr>
        <w:t>招标过程中涉及的澄清答疑及投诉反映等，联系方式如下：</w:t>
      </w:r>
    </w:p>
    <w:p w14:paraId="4097BB63">
      <w:pPr>
        <w:pageBreakBefore w:val="0"/>
        <w:kinsoku/>
        <w:wordWrap w:val="0"/>
        <w:bidi w:val="0"/>
        <w:spacing w:line="240" w:lineRule="auto"/>
        <w:ind w:firstLine="482" w:firstLineChars="200"/>
        <w:rPr>
          <w:rFonts w:hint="eastAsia" w:ascii="仿宋" w:hAnsi="仿宋" w:eastAsia="仿宋" w:cs="仿宋"/>
          <w:sz w:val="24"/>
          <w:szCs w:val="21"/>
          <w:highlight w:val="none"/>
          <w:lang w:val="en-US" w:eastAsia="zh-CN"/>
        </w:rPr>
      </w:pPr>
      <w:r>
        <w:rPr>
          <w:rFonts w:hint="eastAsia" w:ascii="仿宋" w:hAnsi="仿宋" w:eastAsia="仿宋" w:cs="仿宋"/>
          <w:b/>
          <w:bCs/>
          <w:sz w:val="24"/>
          <w:szCs w:val="21"/>
          <w:highlight w:val="none"/>
        </w:rPr>
        <w:t>招 标 人</w:t>
      </w:r>
      <w:r>
        <w:rPr>
          <w:rFonts w:hint="eastAsia" w:ascii="仿宋" w:hAnsi="仿宋" w:eastAsia="仿宋" w:cs="仿宋"/>
          <w:sz w:val="24"/>
          <w:szCs w:val="21"/>
          <w:highlight w:val="none"/>
        </w:rPr>
        <w:t>：</w:t>
      </w:r>
      <w:r>
        <w:rPr>
          <w:rFonts w:hint="eastAsia" w:ascii="仿宋" w:hAnsi="仿宋" w:eastAsia="仿宋" w:cs="仿宋"/>
          <w:sz w:val="24"/>
          <w:szCs w:val="21"/>
          <w:highlight w:val="none"/>
          <w:lang w:val="en-US" w:eastAsia="zh-CN"/>
        </w:rPr>
        <w:t>中国银行股份有限公司泉州分行</w:t>
      </w:r>
    </w:p>
    <w:p w14:paraId="0CD00030">
      <w:pPr>
        <w:pageBreakBefore w:val="0"/>
        <w:kinsoku/>
        <w:wordWrap w:val="0"/>
        <w:bidi w:val="0"/>
        <w:spacing w:line="240" w:lineRule="auto"/>
        <w:ind w:firstLine="480" w:firstLineChars="200"/>
        <w:rPr>
          <w:rFonts w:hint="default" w:ascii="仿宋" w:hAnsi="仿宋" w:eastAsia="仿宋" w:cs="仿宋"/>
          <w:sz w:val="24"/>
          <w:szCs w:val="21"/>
          <w:highlight w:val="none"/>
          <w:lang w:val="en-US" w:eastAsia="zh-CN"/>
        </w:rPr>
      </w:pPr>
      <w:r>
        <w:rPr>
          <w:rFonts w:hint="eastAsia" w:ascii="仿宋" w:hAnsi="仿宋" w:eastAsia="仿宋" w:cs="仿宋"/>
          <w:sz w:val="24"/>
          <w:szCs w:val="21"/>
          <w:highlight w:val="none"/>
          <w:lang w:eastAsia="zh-CN"/>
        </w:rPr>
        <w:t>联</w:t>
      </w:r>
      <w:r>
        <w:rPr>
          <w:rFonts w:hint="eastAsia" w:ascii="仿宋" w:hAnsi="仿宋" w:eastAsia="仿宋" w:cs="仿宋"/>
          <w:sz w:val="24"/>
          <w:szCs w:val="21"/>
          <w:highlight w:val="none"/>
          <w:lang w:val="en-US" w:eastAsia="zh-CN"/>
        </w:rPr>
        <w:t xml:space="preserve"> </w:t>
      </w:r>
      <w:r>
        <w:rPr>
          <w:rFonts w:hint="eastAsia" w:ascii="仿宋" w:hAnsi="仿宋" w:eastAsia="仿宋" w:cs="仿宋"/>
          <w:sz w:val="24"/>
          <w:szCs w:val="21"/>
          <w:highlight w:val="none"/>
          <w:lang w:eastAsia="zh-CN"/>
        </w:rPr>
        <w:t>系</w:t>
      </w:r>
      <w:r>
        <w:rPr>
          <w:rFonts w:hint="eastAsia" w:ascii="仿宋" w:hAnsi="仿宋" w:eastAsia="仿宋" w:cs="仿宋"/>
          <w:sz w:val="24"/>
          <w:szCs w:val="21"/>
          <w:highlight w:val="none"/>
          <w:lang w:val="en-US" w:eastAsia="zh-CN"/>
        </w:rPr>
        <w:t xml:space="preserve"> </w:t>
      </w:r>
      <w:r>
        <w:rPr>
          <w:rFonts w:hint="eastAsia" w:ascii="仿宋" w:hAnsi="仿宋" w:eastAsia="仿宋" w:cs="仿宋"/>
          <w:sz w:val="24"/>
          <w:szCs w:val="21"/>
          <w:highlight w:val="none"/>
          <w:lang w:eastAsia="zh-CN"/>
        </w:rPr>
        <w:t>人：</w:t>
      </w:r>
      <w:r>
        <w:rPr>
          <w:rFonts w:hint="eastAsia" w:ascii="仿宋" w:hAnsi="仿宋" w:eastAsia="仿宋" w:cs="仿宋"/>
          <w:sz w:val="24"/>
          <w:szCs w:val="21"/>
          <w:highlight w:val="none"/>
          <w:lang w:val="en-US" w:eastAsia="zh-CN"/>
        </w:rPr>
        <w:t>李先生</w:t>
      </w:r>
    </w:p>
    <w:p w14:paraId="36C00E96">
      <w:pPr>
        <w:pageBreakBefore w:val="0"/>
        <w:kinsoku/>
        <w:wordWrap w:val="0"/>
        <w:bidi w:val="0"/>
        <w:spacing w:line="240" w:lineRule="auto"/>
        <w:ind w:firstLine="480" w:firstLineChars="200"/>
        <w:rPr>
          <w:rFonts w:hint="default" w:ascii="仿宋" w:hAnsi="仿宋" w:eastAsia="仿宋" w:cs="仿宋"/>
          <w:sz w:val="24"/>
          <w:szCs w:val="21"/>
          <w:highlight w:val="none"/>
          <w:lang w:val="en-US"/>
        </w:rPr>
      </w:pPr>
      <w:r>
        <w:rPr>
          <w:rFonts w:hint="eastAsia" w:ascii="仿宋" w:hAnsi="仿宋" w:eastAsia="仿宋" w:cs="仿宋"/>
          <w:sz w:val="24"/>
          <w:szCs w:val="21"/>
          <w:highlight w:val="none"/>
          <w:lang w:eastAsia="zh-CN"/>
        </w:rPr>
        <w:t>电</w:t>
      </w:r>
      <w:r>
        <w:rPr>
          <w:rFonts w:hint="eastAsia" w:ascii="仿宋" w:hAnsi="仿宋" w:eastAsia="仿宋" w:cs="仿宋"/>
          <w:sz w:val="24"/>
          <w:szCs w:val="21"/>
          <w:highlight w:val="none"/>
          <w:lang w:val="en-US" w:eastAsia="zh-CN"/>
        </w:rPr>
        <w:t xml:space="preserve">    </w:t>
      </w:r>
      <w:r>
        <w:rPr>
          <w:rFonts w:hint="eastAsia" w:ascii="仿宋" w:hAnsi="仿宋" w:eastAsia="仿宋" w:cs="仿宋"/>
          <w:sz w:val="24"/>
          <w:szCs w:val="21"/>
          <w:highlight w:val="none"/>
          <w:lang w:eastAsia="zh-CN"/>
        </w:rPr>
        <w:t>话：</w:t>
      </w:r>
      <w:r>
        <w:rPr>
          <w:rFonts w:hint="eastAsia" w:ascii="仿宋" w:hAnsi="仿宋" w:eastAsia="仿宋" w:cs="仿宋"/>
          <w:sz w:val="24"/>
          <w:szCs w:val="21"/>
          <w:highlight w:val="none"/>
          <w:lang w:val="en-US" w:eastAsia="zh-CN"/>
        </w:rPr>
        <w:t>0595 22152232</w:t>
      </w:r>
    </w:p>
    <w:p w14:paraId="674A4CFF">
      <w:pPr>
        <w:pageBreakBefore w:val="0"/>
        <w:kinsoku/>
        <w:wordWrap w:val="0"/>
        <w:bidi w:val="0"/>
        <w:spacing w:line="240" w:lineRule="auto"/>
        <w:ind w:firstLine="480" w:firstLineChars="200"/>
        <w:rPr>
          <w:rFonts w:hint="eastAsia" w:ascii="仿宋" w:hAnsi="仿宋" w:eastAsia="仿宋" w:cs="仿宋"/>
          <w:sz w:val="24"/>
          <w:szCs w:val="21"/>
          <w:highlight w:val="none"/>
        </w:rPr>
      </w:pPr>
    </w:p>
    <w:p w14:paraId="4A2727BF">
      <w:pPr>
        <w:spacing w:line="360" w:lineRule="auto"/>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招标代理机构名称：</w:t>
      </w:r>
      <w:r>
        <w:rPr>
          <w:rFonts w:hint="eastAsia" w:ascii="仿宋" w:hAnsi="仿宋" w:eastAsia="仿宋" w:cs="仿宋"/>
          <w:sz w:val="24"/>
          <w:szCs w:val="24"/>
          <w:highlight w:val="none"/>
          <w:lang w:eastAsia="zh-CN"/>
        </w:rPr>
        <w:t>福建省中通通信有限公司</w:t>
      </w:r>
    </w:p>
    <w:p w14:paraId="1B63DA17">
      <w:pPr>
        <w:spacing w:line="360" w:lineRule="auto"/>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地    址：</w:t>
      </w:r>
      <w:r>
        <w:rPr>
          <w:rFonts w:hint="eastAsia" w:ascii="仿宋" w:hAnsi="仿宋" w:eastAsia="仿宋" w:cs="仿宋"/>
          <w:sz w:val="24"/>
          <w:szCs w:val="24"/>
          <w:highlight w:val="none"/>
        </w:rPr>
        <w:t>福州市仓山区信平路10号</w:t>
      </w:r>
    </w:p>
    <w:p w14:paraId="575D7A9E">
      <w:pPr>
        <w:spacing w:line="360" w:lineRule="auto"/>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邮    编：</w:t>
      </w:r>
      <w:r>
        <w:rPr>
          <w:rFonts w:hint="eastAsia" w:ascii="仿宋" w:hAnsi="仿宋" w:eastAsia="仿宋" w:cs="仿宋"/>
          <w:sz w:val="24"/>
          <w:szCs w:val="24"/>
          <w:highlight w:val="none"/>
        </w:rPr>
        <w:t>350007</w:t>
      </w:r>
    </w:p>
    <w:p w14:paraId="151E9D43">
      <w:pPr>
        <w:spacing w:line="360" w:lineRule="auto"/>
        <w:ind w:firstLine="480" w:firstLineChars="200"/>
        <w:rPr>
          <w:rFonts w:ascii="仿宋" w:hAnsi="仿宋" w:eastAsia="仿宋" w:cs="仿宋"/>
          <w:iCs/>
          <w:sz w:val="24"/>
          <w:szCs w:val="21"/>
          <w:highlight w:val="none"/>
        </w:rPr>
      </w:pPr>
      <w:r>
        <w:rPr>
          <w:rFonts w:hint="eastAsia" w:ascii="仿宋" w:hAnsi="仿宋" w:eastAsia="仿宋" w:cs="仿宋"/>
          <w:iCs/>
          <w:sz w:val="24"/>
          <w:szCs w:val="21"/>
          <w:highlight w:val="none"/>
        </w:rPr>
        <w:t>联 系 人：</w:t>
      </w:r>
      <w:r>
        <w:rPr>
          <w:rFonts w:hint="eastAsia" w:ascii="仿宋" w:hAnsi="仿宋" w:eastAsia="仿宋" w:cs="仿宋"/>
          <w:sz w:val="24"/>
          <w:szCs w:val="24"/>
          <w:highlight w:val="none"/>
          <w:lang w:val="en-US" w:eastAsia="zh-CN"/>
        </w:rPr>
        <w:t>蒋恭楷</w:t>
      </w:r>
    </w:p>
    <w:p w14:paraId="429C6CAD">
      <w:pPr>
        <w:spacing w:line="360" w:lineRule="auto"/>
        <w:ind w:firstLine="480" w:firstLineChars="200"/>
        <w:rPr>
          <w:rFonts w:ascii="仿宋" w:hAnsi="仿宋" w:eastAsia="仿宋" w:cs="仿宋"/>
          <w:iCs/>
          <w:sz w:val="24"/>
          <w:szCs w:val="21"/>
          <w:highlight w:val="none"/>
        </w:rPr>
      </w:pPr>
      <w:r>
        <w:rPr>
          <w:rFonts w:hint="eastAsia" w:ascii="仿宋" w:hAnsi="仿宋" w:eastAsia="仿宋" w:cs="仿宋"/>
          <w:iCs/>
          <w:sz w:val="24"/>
          <w:szCs w:val="21"/>
          <w:highlight w:val="none"/>
        </w:rPr>
        <w:t>联系方式：</w:t>
      </w:r>
      <w:r>
        <w:rPr>
          <w:rFonts w:hint="eastAsia" w:ascii="仿宋" w:hAnsi="仿宋" w:eastAsia="仿宋" w:cs="仿宋"/>
          <w:sz w:val="24"/>
          <w:szCs w:val="24"/>
          <w:highlight w:val="none"/>
          <w:lang w:val="en-US" w:eastAsia="zh-CN"/>
        </w:rPr>
        <w:t>19905958001</w:t>
      </w:r>
    </w:p>
    <w:p w14:paraId="5D38D6A4">
      <w:pPr>
        <w:spacing w:line="360" w:lineRule="auto"/>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 xml:space="preserve">电子函件： </w:t>
      </w:r>
      <w:r>
        <w:rPr>
          <w:rFonts w:hint="eastAsia" w:ascii="仿宋" w:hAnsi="仿宋" w:eastAsia="仿宋" w:cs="仿宋"/>
          <w:sz w:val="24"/>
          <w:szCs w:val="24"/>
          <w:highlight w:val="none"/>
        </w:rPr>
        <w:t>jianggongkai@chinaccs.cn</w:t>
      </w:r>
    </w:p>
    <w:p w14:paraId="4D7BCD3C">
      <w:pPr>
        <w:pageBreakBefore w:val="0"/>
        <w:kinsoku/>
        <w:wordWrap w:val="0"/>
        <w:bidi w:val="0"/>
        <w:spacing w:line="24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文件发售/接收/退保证金联系人：</w:t>
      </w:r>
    </w:p>
    <w:p w14:paraId="7A8B412A">
      <w:pPr>
        <w:pageBreakBefore w:val="0"/>
        <w:kinsoku/>
        <w:wordWrap w:val="0"/>
        <w:bidi w:val="0"/>
        <w:spacing w:line="24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w:t>
      </w:r>
      <w:r>
        <w:rPr>
          <w:rFonts w:hint="eastAsia" w:ascii="仿宋" w:hAnsi="仿宋" w:eastAsia="仿宋" w:cs="仿宋"/>
          <w:bCs/>
          <w:sz w:val="24"/>
          <w:szCs w:val="24"/>
          <w:highlight w:val="none"/>
          <w:lang w:val="en-US" w:eastAsia="zh-CN"/>
        </w:rPr>
        <w:t>欧怡祺</w:t>
      </w:r>
      <w:r>
        <w:rPr>
          <w:rFonts w:hint="eastAsia" w:ascii="仿宋" w:hAnsi="仿宋" w:eastAsia="仿宋" w:cs="仿宋"/>
          <w:b/>
          <w:bCs/>
          <w:sz w:val="24"/>
          <w:szCs w:val="24"/>
          <w:highlight w:val="none"/>
        </w:rPr>
        <w:t>】  电话：【</w:t>
      </w:r>
      <w:r>
        <w:rPr>
          <w:rFonts w:hint="eastAsia" w:ascii="仿宋" w:hAnsi="仿宋" w:eastAsia="仿宋" w:cs="仿宋"/>
          <w:b/>
          <w:bCs/>
          <w:sz w:val="24"/>
          <w:szCs w:val="24"/>
          <w:highlight w:val="none"/>
          <w:lang w:val="en-US" w:eastAsia="zh-CN"/>
        </w:rPr>
        <w:t>15719508314</w:t>
      </w:r>
      <w:r>
        <w:rPr>
          <w:rFonts w:hint="eastAsia" w:ascii="仿宋" w:hAnsi="仿宋" w:eastAsia="仿宋" w:cs="仿宋"/>
          <w:b/>
          <w:bCs/>
          <w:sz w:val="24"/>
          <w:szCs w:val="24"/>
          <w:highlight w:val="none"/>
        </w:rPr>
        <w:t>】</w:t>
      </w:r>
    </w:p>
    <w:p w14:paraId="380EE7F5">
      <w:pPr>
        <w:pageBreakBefore w:val="0"/>
        <w:kinsoku/>
        <w:wordWrap w:val="0"/>
        <w:bidi w:val="0"/>
        <w:spacing w:line="24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w:t>
      </w:r>
      <w:r>
        <w:rPr>
          <w:rFonts w:hint="eastAsia" w:ascii="仿宋" w:hAnsi="仿宋" w:eastAsia="仿宋" w:cs="仿宋"/>
          <w:bCs/>
          <w:sz w:val="24"/>
          <w:szCs w:val="24"/>
          <w:highlight w:val="none"/>
          <w:lang w:val="en-US" w:eastAsia="zh-CN"/>
        </w:rPr>
        <w:t>唐娇娟</w:t>
      </w:r>
      <w:r>
        <w:rPr>
          <w:rFonts w:hint="eastAsia" w:ascii="仿宋" w:hAnsi="仿宋" w:eastAsia="仿宋" w:cs="仿宋"/>
          <w:b/>
          <w:bCs/>
          <w:sz w:val="24"/>
          <w:szCs w:val="24"/>
          <w:highlight w:val="none"/>
        </w:rPr>
        <w:t>】  电话：【</w:t>
      </w:r>
      <w:r>
        <w:rPr>
          <w:rFonts w:hint="eastAsia" w:ascii="仿宋" w:hAnsi="仿宋" w:eastAsia="仿宋" w:cs="仿宋"/>
          <w:b/>
          <w:bCs/>
          <w:sz w:val="24"/>
          <w:szCs w:val="24"/>
          <w:highlight w:val="none"/>
          <w:lang w:val="en-US" w:eastAsia="zh-CN"/>
        </w:rPr>
        <w:t>13295958260</w:t>
      </w:r>
      <w:r>
        <w:rPr>
          <w:rFonts w:hint="eastAsia" w:ascii="仿宋" w:hAnsi="仿宋" w:eastAsia="仿宋" w:cs="仿宋"/>
          <w:b/>
          <w:bCs/>
          <w:sz w:val="24"/>
          <w:szCs w:val="24"/>
          <w:highlight w:val="none"/>
        </w:rPr>
        <w:t>】</w:t>
      </w:r>
    </w:p>
    <w:p w14:paraId="23A1FDA1">
      <w:pPr>
        <w:spacing w:line="360" w:lineRule="auto"/>
        <w:ind w:firstLine="420" w:firstLineChars="200"/>
        <w:rPr>
          <w:highlight w:val="none"/>
        </w:rPr>
      </w:pPr>
      <w:bookmarkStart w:id="62" w:name="_GoBack"/>
      <w:bookmarkEnd w:id="6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BD0F88"/>
    <w:multiLevelType w:val="singleLevel"/>
    <w:tmpl w:val="DBBD0F88"/>
    <w:lvl w:ilvl="0" w:tentative="0">
      <w:start w:val="1"/>
      <w:numFmt w:val="chineseCounting"/>
      <w:suff w:val="nothing"/>
      <w:lvlText w:val="（%1）"/>
      <w:lvlJc w:val="left"/>
      <w:pPr>
        <w:ind w:left="0" w:firstLine="420"/>
      </w:pPr>
      <w:rPr>
        <w:rFonts w:hint="eastAsia"/>
        <w:b/>
        <w:bCs/>
      </w:rPr>
    </w:lvl>
  </w:abstractNum>
  <w:abstractNum w:abstractNumId="1">
    <w:nsid w:val="DFDE3399"/>
    <w:multiLevelType w:val="singleLevel"/>
    <w:tmpl w:val="DFDE3399"/>
    <w:lvl w:ilvl="0" w:tentative="0">
      <w:start w:val="1"/>
      <w:numFmt w:val="decimal"/>
      <w:lvlText w:val="%1."/>
      <w:lvlJc w:val="left"/>
      <w:pPr>
        <w:tabs>
          <w:tab w:val="left" w:pos="0"/>
        </w:tabs>
        <w:ind w:left="425" w:hanging="425"/>
      </w:pPr>
      <w:rPr>
        <w:rFonts w:hint="default" w:ascii="仿宋" w:hAnsi="仿宋" w:eastAsia="仿宋" w:cs="仿宋"/>
        <w:b w:val="0"/>
        <w:bCs w:val="0"/>
      </w:rPr>
    </w:lvl>
  </w:abstractNum>
  <w:abstractNum w:abstractNumId="2">
    <w:nsid w:val="EFFF512E"/>
    <w:multiLevelType w:val="singleLevel"/>
    <w:tmpl w:val="EFFF512E"/>
    <w:lvl w:ilvl="0" w:tentative="0">
      <w:start w:val="1"/>
      <w:numFmt w:val="chineseCounting"/>
      <w:suff w:val="nothing"/>
      <w:lvlText w:val="%1、"/>
      <w:lvlJc w:val="left"/>
      <w:pPr>
        <w:ind w:left="0" w:firstLine="0"/>
      </w:pPr>
      <w:rPr>
        <w:rFonts w:hint="eastAsia"/>
      </w:rPr>
    </w:lvl>
  </w:abstractNum>
  <w:abstractNum w:abstractNumId="3">
    <w:nsid w:val="F4C93CA2"/>
    <w:multiLevelType w:val="singleLevel"/>
    <w:tmpl w:val="F4C93CA2"/>
    <w:lvl w:ilvl="0" w:tentative="0">
      <w:start w:val="1"/>
      <w:numFmt w:val="decimal"/>
      <w:suff w:val="nothing"/>
      <w:lvlText w:val="%1．"/>
      <w:lvlJc w:val="left"/>
      <w:pPr>
        <w:ind w:left="0" w:firstLine="400"/>
      </w:pPr>
      <w:rPr>
        <w:rFonts w:hint="default"/>
      </w:rPr>
    </w:lvl>
  </w:abstractNum>
  <w:abstractNum w:abstractNumId="4">
    <w:nsid w:val="F77F7FCD"/>
    <w:multiLevelType w:val="singleLevel"/>
    <w:tmpl w:val="F77F7FCD"/>
    <w:lvl w:ilvl="0" w:tentative="0">
      <w:start w:val="1"/>
      <w:numFmt w:val="chineseCounting"/>
      <w:suff w:val="nothing"/>
      <w:lvlText w:val="（%1）"/>
      <w:lvlJc w:val="left"/>
      <w:pPr>
        <w:ind w:left="0" w:firstLine="420"/>
      </w:pPr>
      <w:rPr>
        <w:rFonts w:hint="eastAsia"/>
        <w:b/>
        <w:bCs/>
      </w:rPr>
    </w:lvl>
  </w:abstractNum>
  <w:abstractNum w:abstractNumId="5">
    <w:nsid w:val="FB7F0320"/>
    <w:multiLevelType w:val="singleLevel"/>
    <w:tmpl w:val="FB7F0320"/>
    <w:lvl w:ilvl="0" w:tentative="0">
      <w:start w:val="1"/>
      <w:numFmt w:val="decimal"/>
      <w:lvlText w:val="%1."/>
      <w:lvlJc w:val="left"/>
      <w:pPr>
        <w:tabs>
          <w:tab w:val="left" w:pos="420"/>
        </w:tabs>
        <w:ind w:left="845" w:hanging="425"/>
      </w:pPr>
      <w:rPr>
        <w:rFonts w:hint="default"/>
      </w:rPr>
    </w:lvl>
  </w:abstractNum>
  <w:abstractNum w:abstractNumId="6">
    <w:nsid w:val="25AB5796"/>
    <w:multiLevelType w:val="multilevel"/>
    <w:tmpl w:val="25AB5796"/>
    <w:lvl w:ilvl="0" w:tentative="0">
      <w:start w:val="1"/>
      <w:numFmt w:val="decimal"/>
      <w:lvlText w:val="（%1）"/>
      <w:lvlJc w:val="left"/>
      <w:pPr>
        <w:ind w:left="1570" w:hanging="720"/>
      </w:pPr>
      <w:rPr>
        <w:rFonts w:hint="default"/>
      </w:rPr>
    </w:lvl>
    <w:lvl w:ilvl="1" w:tentative="0">
      <w:start w:val="1"/>
      <w:numFmt w:val="lowerLetter"/>
      <w:lvlText w:val="%2)"/>
      <w:lvlJc w:val="left"/>
      <w:pPr>
        <w:ind w:left="2028" w:hanging="420"/>
      </w:pPr>
    </w:lvl>
    <w:lvl w:ilvl="2" w:tentative="0">
      <w:start w:val="1"/>
      <w:numFmt w:val="lowerRoman"/>
      <w:lvlText w:val="%3."/>
      <w:lvlJc w:val="right"/>
      <w:pPr>
        <w:ind w:left="2448" w:hanging="420"/>
      </w:pPr>
    </w:lvl>
    <w:lvl w:ilvl="3" w:tentative="0">
      <w:start w:val="1"/>
      <w:numFmt w:val="decimal"/>
      <w:lvlText w:val="%4."/>
      <w:lvlJc w:val="left"/>
      <w:pPr>
        <w:ind w:left="2868" w:hanging="420"/>
      </w:pPr>
    </w:lvl>
    <w:lvl w:ilvl="4" w:tentative="0">
      <w:start w:val="1"/>
      <w:numFmt w:val="lowerLetter"/>
      <w:lvlText w:val="%5)"/>
      <w:lvlJc w:val="left"/>
      <w:pPr>
        <w:ind w:left="3288" w:hanging="420"/>
      </w:pPr>
    </w:lvl>
    <w:lvl w:ilvl="5" w:tentative="0">
      <w:start w:val="1"/>
      <w:numFmt w:val="lowerRoman"/>
      <w:lvlText w:val="%6."/>
      <w:lvlJc w:val="right"/>
      <w:pPr>
        <w:ind w:left="3708" w:hanging="420"/>
      </w:pPr>
    </w:lvl>
    <w:lvl w:ilvl="6" w:tentative="0">
      <w:start w:val="1"/>
      <w:numFmt w:val="decimal"/>
      <w:lvlText w:val="%7."/>
      <w:lvlJc w:val="left"/>
      <w:pPr>
        <w:ind w:left="4128" w:hanging="420"/>
      </w:pPr>
    </w:lvl>
    <w:lvl w:ilvl="7" w:tentative="0">
      <w:start w:val="1"/>
      <w:numFmt w:val="lowerLetter"/>
      <w:lvlText w:val="%8)"/>
      <w:lvlJc w:val="left"/>
      <w:pPr>
        <w:ind w:left="4548" w:hanging="420"/>
      </w:pPr>
    </w:lvl>
    <w:lvl w:ilvl="8" w:tentative="0">
      <w:start w:val="1"/>
      <w:numFmt w:val="lowerRoman"/>
      <w:lvlText w:val="%9."/>
      <w:lvlJc w:val="right"/>
      <w:pPr>
        <w:ind w:left="4968" w:hanging="420"/>
      </w:pPr>
    </w:lvl>
  </w:abstractNum>
  <w:num w:numId="1">
    <w:abstractNumId w:val="2"/>
  </w:num>
  <w:num w:numId="2">
    <w:abstractNumId w:val="4"/>
  </w:num>
  <w:num w:numId="3">
    <w:abstractNumId w:val="3"/>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lYzM4YzI4NGJmY2U4YzNhY2VlYjM5N2ZmMzQ0MzYifQ=="/>
  </w:docVars>
  <w:rsids>
    <w:rsidRoot w:val="00897A9B"/>
    <w:rsid w:val="00301611"/>
    <w:rsid w:val="00897A9B"/>
    <w:rsid w:val="008E2A18"/>
    <w:rsid w:val="00B51ADF"/>
    <w:rsid w:val="09E0378A"/>
    <w:rsid w:val="0B48015E"/>
    <w:rsid w:val="10A909D3"/>
    <w:rsid w:val="1FE8638A"/>
    <w:rsid w:val="2A056E6A"/>
    <w:rsid w:val="32807B59"/>
    <w:rsid w:val="37814BE0"/>
    <w:rsid w:val="3CB56E64"/>
    <w:rsid w:val="46631D60"/>
    <w:rsid w:val="47F07D89"/>
    <w:rsid w:val="50125E3D"/>
    <w:rsid w:val="56862257"/>
    <w:rsid w:val="56D33FD4"/>
    <w:rsid w:val="5A002D6A"/>
    <w:rsid w:val="66D439F4"/>
    <w:rsid w:val="729054E3"/>
    <w:rsid w:val="79D47121"/>
    <w:rsid w:val="7C172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link w:val="1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3">
    <w:name w:val="Body Text Indent"/>
    <w:basedOn w:val="1"/>
    <w:next w:val="4"/>
    <w:autoRedefine/>
    <w:unhideWhenUsed/>
    <w:qFormat/>
    <w:uiPriority w:val="99"/>
    <w:pPr>
      <w:ind w:firstLine="795"/>
    </w:pPr>
    <w:rPr>
      <w:sz w:val="32"/>
      <w:szCs w:val="32"/>
    </w:rPr>
  </w:style>
  <w:style w:type="paragraph" w:styleId="4">
    <w:name w:val="envelope return"/>
    <w:basedOn w:val="1"/>
    <w:autoRedefine/>
    <w:unhideWhenUsed/>
    <w:qFormat/>
    <w:uiPriority w:val="99"/>
    <w:pPr>
      <w:snapToGrid w:val="0"/>
    </w:pPr>
    <w:rPr>
      <w:rFonts w:ascii="Arial" w:hAnsi="Arial"/>
    </w:rPr>
  </w:style>
  <w:style w:type="paragraph" w:styleId="5">
    <w:name w:val="footer"/>
    <w:basedOn w:val="1"/>
    <w:link w:val="16"/>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5"/>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2"/>
    <w:basedOn w:val="1"/>
    <w:autoRedefine/>
    <w:unhideWhenUsed/>
    <w:qFormat/>
    <w:uiPriority w:val="99"/>
    <w:pPr>
      <w:jc w:val="left"/>
    </w:pPr>
    <w:rPr>
      <w:rFonts w:ascii="仿宋_GB2312" w:hAnsi="宋体"/>
    </w:rPr>
  </w:style>
  <w:style w:type="paragraph" w:styleId="8">
    <w:name w:val="Normal (Web)"/>
    <w:basedOn w:val="1"/>
    <w:autoRedefine/>
    <w:unhideWhenUsed/>
    <w:qFormat/>
    <w:uiPriority w:val="99"/>
    <w:pPr>
      <w:spacing w:beforeAutospacing="1" w:afterAutospacing="1"/>
      <w:jc w:val="left"/>
    </w:pPr>
    <w:rPr>
      <w:kern w:val="0"/>
    </w:rPr>
  </w:style>
  <w:style w:type="paragraph" w:styleId="9">
    <w:name w:val="Body Text First Indent 2"/>
    <w:basedOn w:val="3"/>
    <w:autoRedefine/>
    <w:unhideWhenUsed/>
    <w:qFormat/>
    <w:uiPriority w:val="99"/>
    <w:pPr>
      <w:spacing w:after="120"/>
      <w:ind w:left="420" w:leftChars="200"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22"/>
  </w:style>
  <w:style w:type="character" w:styleId="14">
    <w:name w:val="Hyperlink"/>
    <w:autoRedefine/>
    <w:qFormat/>
    <w:uiPriority w:val="99"/>
    <w:rPr>
      <w:color w:val="0000FF"/>
      <w:u w:val="single"/>
    </w:rPr>
  </w:style>
  <w:style w:type="character" w:customStyle="1" w:styleId="15">
    <w:name w:val="页眉 Char"/>
    <w:basedOn w:val="12"/>
    <w:link w:val="6"/>
    <w:autoRedefine/>
    <w:qFormat/>
    <w:uiPriority w:val="99"/>
    <w:rPr>
      <w:sz w:val="18"/>
      <w:szCs w:val="18"/>
    </w:rPr>
  </w:style>
  <w:style w:type="character" w:customStyle="1" w:styleId="16">
    <w:name w:val="页脚 Char"/>
    <w:basedOn w:val="12"/>
    <w:link w:val="5"/>
    <w:autoRedefine/>
    <w:qFormat/>
    <w:uiPriority w:val="99"/>
    <w:rPr>
      <w:sz w:val="18"/>
      <w:szCs w:val="18"/>
    </w:rPr>
  </w:style>
  <w:style w:type="paragraph" w:customStyle="1" w:styleId="17">
    <w:name w:val="列出段落1"/>
    <w:basedOn w:val="1"/>
    <w:link w:val="18"/>
    <w:autoRedefine/>
    <w:unhideWhenUsed/>
    <w:qFormat/>
    <w:uiPriority w:val="34"/>
    <w:pPr>
      <w:ind w:firstLine="420" w:firstLineChars="200"/>
    </w:pPr>
  </w:style>
  <w:style w:type="character" w:customStyle="1" w:styleId="18">
    <w:name w:val="列出段落 Char"/>
    <w:link w:val="17"/>
    <w:autoRedefine/>
    <w:qFormat/>
    <w:uiPriority w:val="34"/>
    <w:rPr>
      <w:rFonts w:ascii="Times New Roman" w:hAnsi="Times New Roman" w:eastAsia="宋体" w:cs="Times New Roman"/>
      <w:szCs w:val="24"/>
    </w:rPr>
  </w:style>
  <w:style w:type="character" w:customStyle="1" w:styleId="19">
    <w:name w:val="正文缩进 Char"/>
    <w:link w:val="2"/>
    <w:autoRedefine/>
    <w:qFormat/>
    <w:uiPriority w:val="99"/>
    <w:rPr>
      <w:rFonts w:ascii="楷体_GB2312" w:hAnsi="Times New Roman" w:eastAsia="楷体_GB2312" w:cs="Times New Roman"/>
      <w:kern w:val="0"/>
      <w:sz w:val="28"/>
      <w:szCs w:val="20"/>
    </w:rPr>
  </w:style>
  <w:style w:type="paragraph" w:customStyle="1" w:styleId="20">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3025</Words>
  <Characters>3381</Characters>
  <Lines>16</Lines>
  <Paragraphs>4</Paragraphs>
  <TotalTime>0</TotalTime>
  <ScaleCrop>false</ScaleCrop>
  <LinksUpToDate>false</LinksUpToDate>
  <CharactersWithSpaces>3453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2023-11-02T08:55:00Z</dcterms:created>
  <dc:creator>Windows 用户</dc:creator>
  <cp:lastModifiedBy>76876</cp:lastModifiedBy>
  <dcterms:modified xsi:type="dcterms:W3CDTF">2026-04-29T08:47:57Z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6D23E58119CA411C802F98860E95203F_12</vt:lpwstr>
  </property>
  <property fmtid="{D5CDD505-2E9C-101B-9397-08002B2CF9AE}" pid="4" name="KSOTemplateDocerSaveRecord">
    <vt:lpwstr>eyJoZGlkIjoiZWRmN2NhMDY5MzBmZDkzOTJmODliOTBhMmMzNWJlYzYiLCJ1c2VySWQiOiIxNTEwNTczNjUxIn0=</vt:lpwstr>
  </property>
</Properties>
</file>